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8C6B42" w:rsidRPr="00C40E70" w:rsidTr="003D4634">
        <w:trPr>
          <w:trHeight w:val="1841"/>
        </w:trPr>
        <w:tc>
          <w:tcPr>
            <w:tcW w:w="4644" w:type="dxa"/>
          </w:tcPr>
          <w:p w:rsidR="008C6B42" w:rsidRPr="00BD28E5" w:rsidRDefault="008C6B42" w:rsidP="00A6588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BD28E5">
              <w:rPr>
                <w:rFonts w:eastAsia="Times New Roman"/>
                <w:b/>
                <w:bCs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D914C" wp14:editId="6B0C0A37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-470535</wp:posOffset>
                      </wp:positionV>
                      <wp:extent cx="812800" cy="419100"/>
                      <wp:effectExtent l="12700" t="11430" r="12700" b="762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00.95pt;margin-top:-37.05pt;width:6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" strokecolor="white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8C6B42" w:rsidRPr="005E10CF" w:rsidRDefault="002C3F64" w:rsidP="00A65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C6B42" w:rsidRPr="005E10CF" w:rsidRDefault="002C3F64" w:rsidP="00A65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C6B42" w:rsidRPr="005E10CF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C6B42" w:rsidRPr="005E10C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8C6B42" w:rsidRPr="00CF4C62" w:rsidRDefault="008C6B42" w:rsidP="00A65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CF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3D46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4C62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8C6B42" w:rsidRPr="005E10CF" w:rsidRDefault="00CF4C62" w:rsidP="00F8543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F4C62">
              <w:rPr>
                <w:sz w:val="28"/>
                <w:szCs w:val="28"/>
              </w:rPr>
              <w:t>от 31 марта 2025 г. № 505</w:t>
            </w:r>
          </w:p>
        </w:tc>
      </w:tr>
    </w:tbl>
    <w:p w:rsidR="008C6B42" w:rsidRDefault="008C6B42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0" w:name="Par31"/>
      <w:bookmarkEnd w:id="0"/>
    </w:p>
    <w:p w:rsidR="003D4634" w:rsidRDefault="003D4634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8C6B42" w:rsidRPr="004E00B8" w:rsidRDefault="00C27D9D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"</w:t>
      </w:r>
      <w:r w:rsidR="008C6B42">
        <w:rPr>
          <w:b/>
          <w:color w:val="000000" w:themeColor="text1"/>
          <w:sz w:val="28"/>
          <w:szCs w:val="28"/>
        </w:rPr>
        <w:t>СОСТАВ</w:t>
      </w:r>
    </w:p>
    <w:p w:rsidR="008C6B42" w:rsidRPr="004E00B8" w:rsidRDefault="008C6B42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комиссии</w:t>
      </w:r>
      <w:r w:rsidRPr="008C235C">
        <w:rPr>
          <w:b/>
          <w:color w:val="000000" w:themeColor="text1"/>
          <w:sz w:val="28"/>
          <w:szCs w:val="28"/>
        </w:rPr>
        <w:t xml:space="preserve"> </w:t>
      </w:r>
      <w:bookmarkStart w:id="1" w:name="_Hlk119478965"/>
      <w:bookmarkStart w:id="2" w:name="_Hlk119479799"/>
      <w:r>
        <w:rPr>
          <w:b/>
          <w:color w:val="000000" w:themeColor="text1"/>
          <w:sz w:val="28"/>
          <w:szCs w:val="28"/>
        </w:rPr>
        <w:t xml:space="preserve">по проведению конкурса на предоставление из городского бюджета субсидий организациям на организацию и проведение </w:t>
      </w:r>
      <w:bookmarkEnd w:id="1"/>
      <w:r>
        <w:rPr>
          <w:b/>
          <w:color w:val="000000" w:themeColor="text1"/>
          <w:sz w:val="28"/>
          <w:szCs w:val="28"/>
        </w:rPr>
        <w:t>мероприятий в сфере туризма</w:t>
      </w:r>
      <w:bookmarkEnd w:id="2"/>
    </w:p>
    <w:p w:rsidR="008C6B42" w:rsidRPr="004E00B8" w:rsidRDefault="008C6B42" w:rsidP="008C6B4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6520"/>
      </w:tblGrid>
      <w:tr w:rsidR="00F357F5" w:rsidRPr="008C6B42" w:rsidTr="003D4634">
        <w:tc>
          <w:tcPr>
            <w:tcW w:w="2835" w:type="dxa"/>
          </w:tcPr>
          <w:p w:rsidR="00F357F5" w:rsidRPr="008C6B42" w:rsidRDefault="00F85431" w:rsidP="008B0DE4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Филимонова</w:t>
            </w:r>
          </w:p>
          <w:p w:rsidR="00F357F5" w:rsidRPr="008C6B42" w:rsidRDefault="00F85431" w:rsidP="00F85431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Нина</w:t>
            </w:r>
            <w:r w:rsidR="00F357F5"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Сергеевна</w:t>
            </w:r>
          </w:p>
        </w:tc>
        <w:tc>
          <w:tcPr>
            <w:tcW w:w="284" w:type="dxa"/>
          </w:tcPr>
          <w:p w:rsidR="00F357F5" w:rsidRPr="008C6B42" w:rsidRDefault="00F357F5" w:rsidP="008B0DE4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F357F5" w:rsidRPr="008C6B42" w:rsidRDefault="00F357F5" w:rsidP="008B0DE4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директор департамента </w:t>
            </w:r>
            <w:r w:rsidR="00F85431">
              <w:rPr>
                <w:rFonts w:eastAsia="Times New Roman"/>
                <w:sz w:val="28"/>
                <w:szCs w:val="26"/>
                <w:lang w:eastAsia="ru-RU"/>
              </w:rPr>
              <w:t xml:space="preserve">протокола и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общественных связей </w:t>
            </w: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Администрации городского округа "Город Архангельск"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 (председател</w:t>
            </w:r>
            <w:r w:rsidR="00F85431">
              <w:rPr>
                <w:rFonts w:eastAsia="Times New Roman"/>
                <w:sz w:val="28"/>
                <w:szCs w:val="26"/>
                <w:lang w:eastAsia="ru-RU"/>
              </w:rPr>
              <w:t>ь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 комиссии)</w:t>
            </w: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</w:p>
          <w:p w:rsidR="00F357F5" w:rsidRPr="008C6B42" w:rsidRDefault="00F357F5" w:rsidP="008B0DE4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  <w:tr w:rsidR="00F357F5" w:rsidRPr="008C6B42" w:rsidTr="003D4634">
        <w:tc>
          <w:tcPr>
            <w:tcW w:w="2835" w:type="dxa"/>
          </w:tcPr>
          <w:p w:rsidR="00F357F5" w:rsidRPr="008C6B42" w:rsidRDefault="00F357F5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Бубнович</w:t>
            </w:r>
          </w:p>
          <w:p w:rsidR="00F357F5" w:rsidRPr="008C6B42" w:rsidRDefault="00F357F5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Елена Вячеславовна</w:t>
            </w:r>
          </w:p>
        </w:tc>
        <w:tc>
          <w:tcPr>
            <w:tcW w:w="284" w:type="dxa"/>
          </w:tcPr>
          <w:p w:rsidR="00F357F5" w:rsidRPr="008C6B42" w:rsidRDefault="00F357F5" w:rsidP="008C6B42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F357F5" w:rsidRPr="008C6B42" w:rsidRDefault="00F357F5" w:rsidP="008C6B42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начальник отдела по внешним связям и туризму департамента </w:t>
            </w:r>
            <w:r w:rsidR="00F85431">
              <w:rPr>
                <w:rFonts w:eastAsia="Times New Roman"/>
                <w:sz w:val="28"/>
                <w:szCs w:val="26"/>
                <w:lang w:eastAsia="ru-RU"/>
              </w:rPr>
              <w:t xml:space="preserve">протокола и общественных связей </w:t>
            </w: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Администрации городского округа "Город Архангельск" (</w:t>
            </w:r>
            <w:r w:rsidR="00F85431">
              <w:rPr>
                <w:rFonts w:eastAsia="Times New Roman"/>
                <w:sz w:val="28"/>
                <w:szCs w:val="26"/>
                <w:lang w:eastAsia="ru-RU"/>
              </w:rPr>
              <w:t>заместитель председателя</w:t>
            </w: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 комиссии)</w:t>
            </w:r>
          </w:p>
          <w:p w:rsidR="00F357F5" w:rsidRPr="008C6B42" w:rsidRDefault="00F357F5" w:rsidP="008C6B42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  <w:tr w:rsidR="00E45AE8" w:rsidRPr="008C6B42" w:rsidTr="003D4634">
        <w:tc>
          <w:tcPr>
            <w:tcW w:w="2835" w:type="dxa"/>
          </w:tcPr>
          <w:p w:rsidR="00E45AE8" w:rsidRDefault="00E45AE8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Гальвас</w:t>
            </w:r>
          </w:p>
          <w:p w:rsidR="00E45AE8" w:rsidRDefault="00E45AE8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Ольга Васильевна</w:t>
            </w:r>
          </w:p>
          <w:p w:rsidR="00E45AE8" w:rsidRPr="008C6B42" w:rsidRDefault="00E45AE8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E45AE8" w:rsidRPr="008C6B42" w:rsidRDefault="00E45AE8" w:rsidP="00DE607B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E45AE8" w:rsidRPr="008C6B42" w:rsidRDefault="00E45AE8" w:rsidP="00DE607B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начальник </w:t>
            </w:r>
            <w:r w:rsidRPr="00E45AE8">
              <w:rPr>
                <w:rFonts w:eastAsia="Times New Roman"/>
                <w:sz w:val="28"/>
                <w:szCs w:val="26"/>
                <w:lang w:eastAsia="ru-RU"/>
              </w:rPr>
              <w:t>уп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равления перспективных проектов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br/>
            </w:r>
            <w:r w:rsidRPr="00E45AE8">
              <w:rPr>
                <w:rFonts w:eastAsia="Times New Roman"/>
                <w:sz w:val="28"/>
                <w:szCs w:val="26"/>
                <w:lang w:eastAsia="ru-RU"/>
              </w:rPr>
              <w:t>и методологии проектной деятельности проектного офиса</w:t>
            </w:r>
            <w:r>
              <w:t xml:space="preserve"> </w:t>
            </w:r>
            <w:r w:rsidRPr="00E45AE8">
              <w:rPr>
                <w:rFonts w:eastAsia="Times New Roman"/>
                <w:sz w:val="28"/>
                <w:szCs w:val="26"/>
                <w:lang w:eastAsia="ru-RU"/>
              </w:rPr>
              <w:t>департамента экономического развития Администрации городского округа "Город Архангельск"</w:t>
            </w:r>
          </w:p>
          <w:p w:rsidR="00E45AE8" w:rsidRPr="008C6B42" w:rsidRDefault="00E45AE8" w:rsidP="00DE607B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  <w:tr w:rsidR="00E45AE8" w:rsidRPr="008C6B42" w:rsidTr="003D4634">
        <w:tc>
          <w:tcPr>
            <w:tcW w:w="2835" w:type="dxa"/>
          </w:tcPr>
          <w:p w:rsidR="00E45AE8" w:rsidRPr="008C6B42" w:rsidRDefault="00E45AE8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Танасейчук</w:t>
            </w:r>
          </w:p>
          <w:p w:rsidR="00E45AE8" w:rsidRPr="008C6B42" w:rsidRDefault="00E45AE8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Евгения</w:t>
            </w: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Юрьевна</w:t>
            </w:r>
          </w:p>
          <w:p w:rsidR="00E45AE8" w:rsidRPr="008C6B42" w:rsidRDefault="00E45AE8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E45AE8" w:rsidRPr="008C6B42" w:rsidRDefault="00E45AE8" w:rsidP="008C6B42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E45AE8" w:rsidRPr="008C6B42" w:rsidRDefault="00E45AE8" w:rsidP="008C6B42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главный специалист отдела по внешним связям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br/>
            </w:r>
            <w:r w:rsidRPr="00F85431">
              <w:rPr>
                <w:rFonts w:eastAsia="Times New Roman"/>
                <w:sz w:val="28"/>
                <w:szCs w:val="26"/>
                <w:lang w:eastAsia="ru-RU"/>
              </w:rPr>
              <w:t>и туризму департамента протокола и общественных связей Администрации городского округа "Город Архангельск"</w:t>
            </w:r>
            <w:r w:rsidR="00C27D9D">
              <w:rPr>
                <w:rFonts w:eastAsia="Times New Roman"/>
                <w:sz w:val="28"/>
                <w:szCs w:val="26"/>
                <w:lang w:eastAsia="ru-RU"/>
              </w:rPr>
              <w:t>.</w:t>
            </w:r>
            <w:bookmarkStart w:id="3" w:name="_GoBack"/>
            <w:bookmarkEnd w:id="3"/>
          </w:p>
          <w:p w:rsidR="00E45AE8" w:rsidRPr="008C6B42" w:rsidRDefault="00E45AE8" w:rsidP="008C6B42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  <w:tr w:rsidR="00E45AE8" w:rsidRPr="008C6B42" w:rsidTr="003D4634">
        <w:tc>
          <w:tcPr>
            <w:tcW w:w="2835" w:type="dxa"/>
          </w:tcPr>
          <w:p w:rsidR="00E45AE8" w:rsidRPr="008C6B42" w:rsidRDefault="00E45AE8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E45AE8" w:rsidRPr="008C6B42" w:rsidRDefault="00E45AE8" w:rsidP="008C6B42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E45AE8" w:rsidRPr="008C6B42" w:rsidRDefault="00E45AE8" w:rsidP="008C6B42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</w:tbl>
    <w:p w:rsidR="00E632FB" w:rsidRDefault="003D4634" w:rsidP="003D4634">
      <w:pPr>
        <w:jc w:val="center"/>
      </w:pPr>
      <w:r>
        <w:t>________</w:t>
      </w:r>
    </w:p>
    <w:sectPr w:rsidR="00E632FB" w:rsidSect="003D46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BD"/>
    <w:rsid w:val="000E5B13"/>
    <w:rsid w:val="001A7EF1"/>
    <w:rsid w:val="00201F5E"/>
    <w:rsid w:val="00246BBD"/>
    <w:rsid w:val="002C3F64"/>
    <w:rsid w:val="00370C67"/>
    <w:rsid w:val="003D4634"/>
    <w:rsid w:val="008C6B42"/>
    <w:rsid w:val="00AE089D"/>
    <w:rsid w:val="00C27D9D"/>
    <w:rsid w:val="00CF4C62"/>
    <w:rsid w:val="00E45AE8"/>
    <w:rsid w:val="00E632FB"/>
    <w:rsid w:val="00F357F5"/>
    <w:rsid w:val="00F85431"/>
    <w:rsid w:val="00F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4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6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4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6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Любовь Федоровна Фадеева</cp:lastModifiedBy>
  <cp:revision>2</cp:revision>
  <cp:lastPrinted>2023-04-27T06:24:00Z</cp:lastPrinted>
  <dcterms:created xsi:type="dcterms:W3CDTF">2025-03-31T12:56:00Z</dcterms:created>
  <dcterms:modified xsi:type="dcterms:W3CDTF">2025-03-31T12:56:00Z</dcterms:modified>
</cp:coreProperties>
</file>