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69" w:rsidRPr="009D6C75" w:rsidRDefault="00CD1569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D1569" w:rsidRDefault="00CD1569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  <w:r w:rsidR="00AF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C75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бюджета </w:t>
      </w:r>
      <w:r w:rsidR="00B35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6C75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2023</w:t>
      </w: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F26E0" w:rsidRPr="009D6C75" w:rsidRDefault="00AF26E0" w:rsidP="00AF26E0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90" w:rsidRDefault="008B219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 по повышению эффективности расходов городского бюджета на 2021 – 2023 годы</w:t>
      </w:r>
    </w:p>
    <w:p w:rsidR="00AF26E0" w:rsidRPr="009D6C75" w:rsidRDefault="00AF26E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277"/>
        <w:gridCol w:w="1843"/>
        <w:gridCol w:w="2126"/>
        <w:gridCol w:w="1417"/>
        <w:gridCol w:w="993"/>
        <w:gridCol w:w="993"/>
        <w:gridCol w:w="994"/>
      </w:tblGrid>
      <w:tr w:rsidR="00A80650" w:rsidRPr="00AF26E0" w:rsidTr="00D10E7E">
        <w:trPr>
          <w:trHeight w:val="4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№ 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Целевой показатель</w:t>
            </w:r>
          </w:p>
        </w:tc>
      </w:tr>
      <w:tr w:rsidR="00A80650" w:rsidRPr="00AF26E0" w:rsidTr="00D10E7E">
        <w:trPr>
          <w:trHeight w:val="47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50" w:rsidRPr="00AF26E0" w:rsidRDefault="00A8065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 измерения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Значения по годам</w:t>
            </w:r>
          </w:p>
        </w:tc>
      </w:tr>
      <w:tr w:rsidR="00A80650" w:rsidRPr="00AF26E0" w:rsidTr="00D10E7E">
        <w:trPr>
          <w:trHeight w:val="5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2023 год</w:t>
            </w:r>
          </w:p>
        </w:tc>
      </w:tr>
      <w:tr w:rsidR="00A80650" w:rsidRPr="00AF26E0" w:rsidTr="00D10E7E">
        <w:trPr>
          <w:trHeight w:val="300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Совершенствование муниципального управления и оптимизация расходов на муниципальное управление</w:t>
            </w:r>
          </w:p>
        </w:tc>
      </w:tr>
      <w:tr w:rsidR="00AF26E0" w:rsidRPr="00AF26E0" w:rsidTr="00AF26E0">
        <w:trPr>
          <w:trHeight w:val="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A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B4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F26E0" w:rsidP="00B4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0" w:rsidRPr="00AF26E0" w:rsidRDefault="00AF26E0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A3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Развитие механизмов взаимодействия органов местного самоуправления </w:t>
            </w:r>
            <w:r w:rsidR="000A32DB" w:rsidRPr="00AF26E0">
              <w:rPr>
                <w:rFonts w:ascii="Times New Roman" w:eastAsia="Calibri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 xml:space="preserve">"Город Архангельск" и жителей городского округа "Город Архангельск" за счет их участия в решении вопросов местного значения в соответствии с требованиями,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установленными 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>Федеральным законом от 6 октября 2003 года № 131-ФЗ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</w:t>
            </w:r>
            <w:r w:rsidRPr="00AF26E0">
              <w:rPr>
                <w:rFonts w:ascii="Times New Roman" w:eastAsia="Calibri" w:hAnsi="Times New Roman" w:cs="Times New Roman"/>
                <w:spacing w:val="-4"/>
              </w:rPr>
              <w:t>Об общих принципах организации местного самоуправления в Российской Федерации</w:t>
            </w:r>
            <w:r w:rsidRPr="00AF26E0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Архангельская городская Дума, </w:t>
            </w:r>
          </w:p>
          <w:p w:rsidR="00A80650" w:rsidRPr="00AF26E0" w:rsidRDefault="00A80650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Администрация муниципального образования "Город Архангельск", муниципально-правовой департамент Администрации муниципального образования "Город Архангельск", департамент экономического развития Администрации муниципального образования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"Город Архангельск",</w:t>
            </w:r>
          </w:p>
          <w:p w:rsidR="00A80650" w:rsidRPr="00AF26E0" w:rsidRDefault="00A80650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Порядок выдвижения, внесения, обсуждения, рассмотрения инициативных проектов, а также проведения их конкурсного отбора, утвержденный решением  Архангельской городской Думы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Проект городского бюджета на 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2022 год и на плановый период 2023 и 2024 годов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Порядок расчета и возврата сумм инициативных платежей, подлежащих возврату лицам (в том числе организациям), осуществившим их перечисление в городской бюджет, утвержденный решением  Архангельской 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Наличие </w:t>
            </w:r>
            <w:r w:rsidRPr="00AF26E0">
              <w:rPr>
                <w:rFonts w:ascii="Times New Roman" w:hAnsi="Times New Roman" w:cs="Times New Roman"/>
                <w:spacing w:val="-4"/>
              </w:rPr>
              <w:t>порядка выдвижения, внесения, обсуждения, рассмотрения инициативных проектов, а также проведения их конкурсного отбора, утвержденного решением  Архангельской городской Думы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Включение в проект городского бюджета на 2022 год и на плановый период 2023 и 2024 годов расходов на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реализацию инициатив населения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Наличие порядка расчета и возврата сумм инициативных платежей, подлежащих возврату лицам (в том числе организациям), осуществившим их перечисление в городской бюджет, утвержденного решением  Архангельской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Да/нет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Да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7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02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-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FD0496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7030A0"/>
                <w:spacing w:val="-4"/>
                <w:lang w:eastAsia="ru-RU"/>
              </w:rPr>
              <w:lastRenderedPageBreak/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FD0496" w:rsidP="007F275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AF26E0">
              <w:rPr>
                <w:rFonts w:ascii="Times New Roman" w:eastAsia="Calibri" w:hAnsi="Times New Roman" w:cs="Times New Roman"/>
                <w:spacing w:val="-4"/>
              </w:rPr>
              <w:t>Реализация проекта "Бюджет твоих возможностей"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FD0496" w:rsidP="0002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финансов Администрации муниципального образования "Город Архангельск", 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4558FF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4558FF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Положение о проекте</w:t>
            </w:r>
          </w:p>
          <w:p w:rsidR="005F169A" w:rsidRPr="00AF26E0" w:rsidRDefault="004558FF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"Бюджет твоих возможностей"</w:t>
            </w:r>
            <w:r w:rsidR="005F169A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Проект городского бюджета на 2022 год и на плановый период 2023 и 2024 годов</w:t>
            </w:r>
          </w:p>
          <w:p w:rsidR="00FD0496" w:rsidRPr="00AF26E0" w:rsidRDefault="00FD0496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96" w:rsidRPr="00AF26E0" w:rsidRDefault="004558FF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актуального </w:t>
            </w:r>
            <w:r w:rsidR="001D240C" w:rsidRPr="00AF26E0">
              <w:rPr>
                <w:rFonts w:ascii="Times New Roman" w:hAnsi="Times New Roman" w:cs="Times New Roman"/>
                <w:spacing w:val="-4"/>
              </w:rPr>
              <w:t>Положения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о проекте "Бюджет твоих возможностей"</w:t>
            </w:r>
          </w:p>
          <w:p w:rsidR="005F169A" w:rsidRPr="00AF26E0" w:rsidRDefault="005F169A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5F169A" w:rsidRPr="00AF26E0" w:rsidRDefault="005F169A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Включение в проект городского бюджета на 2022 год и на плановый период 2023 и 2024 годов расходов на </w:t>
            </w:r>
            <w:r w:rsidR="00D6041C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проекта "Бюджет твоих возможностей"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A" w:rsidRPr="00AF26E0" w:rsidRDefault="004558FF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5F169A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FD0496" w:rsidRPr="00AF26E0" w:rsidRDefault="005F169A" w:rsidP="005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cyan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9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системы оценки </w:t>
            </w:r>
            <w:r w:rsidRPr="00AF26E0">
              <w:rPr>
                <w:rFonts w:ascii="Times New Roman" w:hAnsi="Times New Roman" w:cs="Times New Roman"/>
                <w:bCs/>
                <w:spacing w:val="-4"/>
              </w:rPr>
              <w:t>качества финансового менеджмента, осуществляемого главными администраторами средств городского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Порядок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проведения мониторинга качества финансового менеджмента в отношении главных администраторов средств городского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Наличие порядка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bCs/>
                <w:spacing w:val="-4"/>
              </w:rPr>
              <w:t>проведения мониторинга качества финансового менеджмента в отношении главных администраторов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E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E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Размещение актуальных редакций ведомственных целевых программ и муниципальных программ </w:t>
            </w:r>
            <w:r w:rsidR="000A32DB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на официальном информационном Интернет - портале муниципального образования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Администрации муниципального образования "Город Архангельск", координаторы ведомственных целевых программ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4E2FF7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актуальных редакций ведомственных целевых программ и муниципальных программ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на официальном информационном Интернет - портале муниципального образования "Город Архангельск"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E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  <w:r w:rsidR="003A5BE8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Размещение результатов мониторинга качества финансового менеджмента главных администраторов средств городского бюджета на официальном информационном Интернет - портале муниципального образования "Город Архангельск"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на официальном информационном Интернет - портале муниципального образования "Город Архангельск" результатов мониторинга качества финансового менеджмента главных администраторов средств городского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317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Повышение уровня открытости и прозрачности управления муниципальными финансами путем опубликования информации о  бюджете в доступной для граждан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Наличие на официальном информационном Интернет-портале муниципального образования "Город Архангельск" брошюр "Открытый проект бюджета", "Открытый бюджет", "Открытый отчет"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9183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</w:t>
            </w:r>
            <w:r w:rsidR="003A5BE8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8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Своевременное и достоверное размещение </w:t>
            </w:r>
            <w:r w:rsidRPr="00AF26E0">
              <w:rPr>
                <w:rFonts w:ascii="Times New Roman" w:hAnsi="Times New Roman" w:cs="Times New Roman"/>
                <w:spacing w:val="-4"/>
              </w:rPr>
              <w:br/>
              <w:t>информации в информационно-телекоммуникационной сети "Интернет" на едином портале бюджетной системы Российской Федерации (далее – единый портал) в соответствии с приказом Министерства финансов Российской Федерации от 28 декабря 2016 года № 243н "О составе и порядке размещения и предоставления информации на едином портале бюджетной системы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финансов Администрации муниципального образования "Город Архангельск",</w:t>
            </w:r>
          </w:p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органы, ответственные за формирование информации в соответствии с распоряжением директора департамента финансов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размещенной  на едином портале информации от общего объема информации, требуемой к размещению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D63566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Обеспечение реализации проектного управления в городском округе "Город Архангельск" для решения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D6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  <w:p w:rsidR="00D63566" w:rsidRPr="00AF26E0" w:rsidRDefault="00D63566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D63566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66" w:rsidRPr="00AF26E0" w:rsidRDefault="00B36F73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проблем (задач), стоящих перед Администрацией муниципального образования "Город Архангельск", для решения которых применяются принципы проектного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 менее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66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 менее 10</w:t>
            </w:r>
          </w:p>
        </w:tc>
      </w:tr>
      <w:tr w:rsidR="00B36F73" w:rsidRPr="00AF26E0" w:rsidTr="00D10E7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804D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Уменьшение числа судебных решений неимущественного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D6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Органы, ответственные за исполнение судебных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73" w:rsidRPr="00AF26E0" w:rsidRDefault="00B36F73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Ежегодное сокращение судебных решений неимущественного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3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Тыс. рублей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73" w:rsidRPr="00AF26E0" w:rsidRDefault="00B36F73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При выявлении резервов по данному направлению</w:t>
            </w:r>
          </w:p>
        </w:tc>
      </w:tr>
      <w:tr w:rsidR="00A80650" w:rsidRPr="00AF26E0" w:rsidTr="00D10E7E">
        <w:trPr>
          <w:trHeight w:val="300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6A3E74" w:rsidP="00AF2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Оптимизация расходов на содержание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1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1.</w:t>
            </w:r>
            <w:r w:rsidRPr="00AF26E0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Совершенствование формирования муниципального задания на оказание муниципальных услуг (выполнение работ): включение значений допустимых (возможных) отклонений по показателям качества муниципальных услуг, детализация показателей объема муниципальных услуг (работ) в составе иной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Отраслевые (функциональные) органы Администрации муниципального образования "Город Архангельск", осуществляющие функции и полномочия учредителя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(далее – органы – учредители)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Наличие в муниципальных заданиях на оказание муниципальных услуг (выполнение работ) значений допустимых (возможных) отклонений по показателям качества муниципальных услуг, детализации показателей объема муниципальных услуг (работ) в составе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B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2.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Усиление контроля за выполнением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Отчет о выполнении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выполнивших муниципальное задание на оказание муниципальных услуг (выполнение работ) на 100 про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центов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3.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в установленные сроки возврата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остатков субсидий на финансовое обеспечение выполнения муниципальных заданий на оказание муниципальных услуг (выполнение работ) в объеме, соответствующем не достигнутым показателям муниципальных заданий на оказание муниципальных услуг (выполнение работ)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Приказы (распоряжения) органов-учредителей о возврате </w:t>
            </w:r>
            <w:r w:rsidRPr="00AF26E0">
              <w:rPr>
                <w:rFonts w:ascii="Times New Roman" w:hAnsi="Times New Roman" w:cs="Times New Roman"/>
                <w:spacing w:val="-4"/>
              </w:rPr>
              <w:t>остатков субсидий на финансовое обеспечение выполнения муниципальных заданий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Отношение возвращенных в установленные сроки остатков субсидий на финансовое обеспечение выполнения муниципальных заданий на оказание муниципальных услуг (выполнение работ) к остаткам субсидий на финансовое обеспечение выполнения муниципальных заданий на оказание муниципальных услуг (выполнение работ), требуемым</w:t>
            </w:r>
          </w:p>
          <w:p w:rsidR="00A8065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к возвращению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832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порядков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определения нормативных затрат на оказание муниципальных услуг, нормативных затрат (затрат) 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в качестве объекта налогообложения по 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Порядки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определения нормативных затрат на оказание муниципальных услуг, нормативных затрат (затрат) 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в качестве объекта налогообложения по 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Наличие актуальных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порядков 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определения нормативных затрат на оказание муниципальных услуг, нормативных затрат (затрат) на выполнение работ муниципальными учреждениями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и затрат на уплату налогов, в качестве объекта налогообложения по которым признается имущество муниципальных учреждений </w:t>
            </w:r>
            <w:r w:rsidR="00546AC6" w:rsidRPr="00AF26E0">
              <w:rPr>
                <w:rFonts w:ascii="Times New Roman" w:hAnsi="Times New Roman" w:cs="Times New Roman"/>
                <w:spacing w:val="-4"/>
              </w:rPr>
              <w:t>городского округа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"Город Архангельск" по отдельным муниципальным услугам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(работам)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5.</w:t>
            </w:r>
            <w:r w:rsidRPr="00AF26E0"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Усиление контроля за размещением информации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>на Официальном сайте Российской Федерации в сети Интернет для размещения информации о государственных (муниципальных) учреждениях www.bus.gov.ru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департамент финансов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о размещении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 </w:t>
            </w:r>
            <w:r w:rsidRPr="00AF26E0">
              <w:rPr>
                <w:rFonts w:ascii="Times New Roman" w:hAnsi="Times New Roman" w:cs="Times New Roman"/>
                <w:iCs/>
                <w:spacing w:val="-4"/>
              </w:rPr>
              <w:t>на Официальном сайте Российской Федерации в сети Интернет для размещения информации о государственных (муниципальных) учреждениях www.bus.gov.ru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электронных копий документов </w:t>
            </w:r>
          </w:p>
          <w:p w:rsidR="00AF26E0" w:rsidRPr="00AF26E0" w:rsidRDefault="00AF26E0" w:rsidP="00AF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разместивших в полном объеме необходимую информацию, от общего количества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≥ 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≥ 99,0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1C69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100,0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Недопущение необоснованного наличия на лицевых счетах муниципальных бюджетных и автономных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остатков средств, предоставленных им в соответствии с абзацем вторым пункта 1статьи 78.1 Бюджетного кодекса Российской Федерации,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(далее – остатки средств субсидий на иные цели)</w:t>
            </w:r>
            <w:r w:rsidRPr="00AF26E0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конец месяца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муниципальные бюджетные и автономные учреждения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Отсутствие необоснованного наличия на лицевых счетах муниципальных бюджетных и автономных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остатков средств</w:t>
            </w:r>
            <w:r w:rsidRPr="00AF26E0">
              <w:rPr>
                <w:rFonts w:ascii="Times New Roman" w:eastAsia="Times New Roman" w:hAnsi="Times New Roman" w:cs="Times New Roman"/>
                <w:strike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субсидий на иные цели на конец месяца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 xml:space="preserve">Сумма остатков 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средств субсидий на иные цели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 конец месяца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Тыс. рублей</w:t>
            </w:r>
            <w:r w:rsidRPr="00AF26E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A80650" w:rsidRPr="00AF26E0" w:rsidRDefault="00A80650" w:rsidP="00784C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7.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нагрузки на бюджетную сеть (количество учреждений, контингент, количество персонала, объемы и качество оказываемых (выполняемых) муниципальных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227C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 – учредители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15 апреля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департамента экономического развития Администрации муниципального образования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Наличие предложений по оптимизации бюджетной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Подготовка предложений по изменению бюджетной сети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E3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Ежегодно до 1 мая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соответствующего заместителя Главы городского округа "Город Архангельск", заместителя  Главы городского округа "Город Архангельск" по вопросам экономического развития и финансам, департамента финансов Администрации муниципального образования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Наличие предложений по оптимизации бюджетной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Да</w:t>
            </w:r>
          </w:p>
        </w:tc>
      </w:tr>
      <w:tr w:rsidR="00A80650" w:rsidRPr="00AF26E0" w:rsidTr="00D10E7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E8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9.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процесса передачи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несвойственных функций на аутсорсинг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Администрации муниципального образования "Город Архангельск", органы – учредители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31 декабря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соответствую-щего заместителя Главы городского округа "Город Архангельск", заместителя Главы городского округа "Город Архангельск" по вопросам экономического развития и финансам</w:t>
            </w:r>
          </w:p>
          <w:p w:rsidR="00AF26E0" w:rsidRPr="00AF26E0" w:rsidRDefault="00AF26E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Уменьшение количества штатных единиц прочего персонала муниципальных учреждений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Человек</w:t>
            </w: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5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80650" w:rsidRPr="00AF26E0" w:rsidTr="00AF26E0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E8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10.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4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анализа использования имущества, закрепленного за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 – учредители, департамент муниципального имущества Администрации муниципального образования "Город Архангельск", 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01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 01 мая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соответствующего заместителя Главы городского округа "Город Архангельск", заместителя Главы городского округа "Город Архангельск" 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имущества, неиспользуемого для осуществления деятельности муниципальными учреждениями </w:t>
            </w:r>
            <w:r w:rsidR="00546AC6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035CD2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Да/н</w:t>
            </w:r>
            <w:r w:rsidR="00A80650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78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80650" w:rsidRPr="00AF26E0" w:rsidTr="00AF26E0">
        <w:trPr>
          <w:trHeight w:val="4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11.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Развитие приносящей доход деятельности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F1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Органы – учредители, департамент экономического развития Администрации муниципального образования "Город Архангельск", муниципальные бюджетные и автономные учреждения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доходов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за счет поступлений от оказания услуг (выполнения работ) гражданам и юридическим лицам за плату,  поступлений от иной приносящий доход деятельности на 5 % ежегодно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муниципальных бюджетных и автономных учреждений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оказывающих услуги (выполняющих работы) гражданам и юридическим лицам за плату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C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D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</w:tr>
      <w:tr w:rsidR="00A80650" w:rsidRPr="00AF26E0" w:rsidTr="00D10E7E">
        <w:trPr>
          <w:trHeight w:val="18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12.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 оказания услуг (выполнения работ) для граждан и юридических лиц за плату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Архангельск", органы – учредители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 до 1 июня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соответствующего заместителя Главы городского округа "Город Архангельск", заместителя  Главы городского округа "Город Архангельск" 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количества услуг (работ), оказываемых (выполняемых) муниципальными учреждениями </w:t>
            </w:r>
            <w:r w:rsidR="00F10A44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для граждан и юридических лиц за плату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1,0</w:t>
            </w:r>
          </w:p>
        </w:tc>
      </w:tr>
      <w:tr w:rsidR="00A80650" w:rsidRPr="00AF26E0" w:rsidTr="00D10E7E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13.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Реализация мероприятий по энергосбережению в муниципальных учреждениях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экономического развития Администрации муниципального образования "Город Архангельск", органы – учредители, муниципальные учреждения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реализующих мероприятия по энергосбережению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заключенных энергосервисных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14.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Продолжение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централизации ведения бюджетного (бухгалтерского) учета и формирования отчетности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Администрации муниципального образования "Город Архангельск", органы – учредители, муниципальное казенное учреждение муниципального образования "Город Архангельск" "Центр бухгалтерского и экономического обслуживания" (далее - МКУ "ЦБиЭО"), муниципальные бюджетные и автономные учреждения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13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течение 2021 -2022 года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График  поэтапной централизации бюджетного (бухгалтерского) учета и отчетности в муниципальных учреждениях муниципального образования "Город Архангельск"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Доля муници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Архангельск", обслуживаемых МКУ "ЦБиЭО", в общем количестве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Архангельск", которые планируется передать на обслуживание в МКУ "ЦБиЭО" в соответствии с Графиком  поэтапной централизации бюджетного (бухгалтерского) учета и отчетности в муниципальных учреждениях муниципального образования "Город Архангельск"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B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F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≥ 85,0</w:t>
            </w:r>
            <w:r w:rsidRPr="00AF26E0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 </w:t>
            </w:r>
          </w:p>
          <w:p w:rsidR="00A80650" w:rsidRPr="00AF26E0" w:rsidRDefault="00A80650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100,0</w:t>
            </w:r>
          </w:p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15</w:t>
            </w:r>
            <w:r w:rsidR="0055292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Повышение эффективности внутреннего муниципального финансового контроля в отношении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"Город Архангельск" и органов Администрации муниципального образования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Контрольно-ревизионное управление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51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тально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Федеральные стандарты по осуществлению внутреннего государственного (муниципального)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справка 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 выявленных нарушениях (в том числе типовых)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9B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0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  <w:tr w:rsidR="00A80650" w:rsidRPr="00AF26E0" w:rsidTr="00D10E7E">
        <w:trPr>
          <w:trHeight w:val="27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8B5BC1" w:rsidP="00AF26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III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Повышение эффективности деятельности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мониторинга эффективности деятельности муниципальных предприятий. Совершенствование системы финансового планирования показателей финансово-экономической деятельности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89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Аналитическая записка в адрес Главы городского округа "Город Архангельск"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Увеличение количества прибыльных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EA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Реализация проектов по повышению доходов и оптимизации расходов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89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заместителя Главы городского округа "Город Архангельск" 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исполнивших показатели планов финансово-хозяйственной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Внедрение методов бюджетирования, направленных на увеличение прибыли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Архангельск", департамент транспорта, строительства и городской инфраструктуры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о перспективах развития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</w:t>
            </w:r>
          </w:p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 обществ 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муниципаль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 внедряющих методы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3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Контроль за использованием амортизационных отчислений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 и обществ с ограниченной ответственностью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Архангельск", департамент транспорта, строительства и городской инфраструктуры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Отчет об использовании амортизационных отчислений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муниципаль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и обществ с ограниченной ответственностью использующих амортизационные отчисления на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</w:t>
            </w:r>
          </w:p>
        </w:tc>
      </w:tr>
      <w:tr w:rsidR="00A80650" w:rsidRPr="00AF26E0" w:rsidTr="00D10E7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BF736A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  <w:r w:rsidR="003A5BE8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приватизации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362653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муниципального имущества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Прогнозный план приватизации муниципального имущества муниципального образования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приватизированных муниципальных унитарных предприятий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7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6A3E74" w:rsidP="00AF26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IV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системы закупок для муниципальных нужд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Обеспечение централизации закупок товаров, работ и услуг для муниципальных нужд и нужд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– 2022 годов</w:t>
            </w:r>
          </w:p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централизованных закупок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Увеличение количества осуществляемых заказчиками городского округа "Город Архангельск" закупок малого объема на Портале малых закупок Архангельска - Амаркет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C4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осуществленных заказчиками городского округа "Город Архангельск" закупок малого объема на Портале малых закупок Архангельска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1100</w:t>
            </w:r>
          </w:p>
        </w:tc>
      </w:tr>
    </w:tbl>
    <w:p w:rsidR="00AF26E0" w:rsidRDefault="00AF26E0">
      <w:r>
        <w:br w:type="page"/>
      </w:r>
    </w:p>
    <w:tbl>
      <w:tblPr>
        <w:tblW w:w="15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277"/>
        <w:gridCol w:w="1843"/>
        <w:gridCol w:w="2126"/>
        <w:gridCol w:w="1417"/>
        <w:gridCol w:w="993"/>
        <w:gridCol w:w="993"/>
        <w:gridCol w:w="994"/>
      </w:tblGrid>
      <w:tr w:rsidR="00A80650" w:rsidRPr="00AF26E0" w:rsidTr="00D10E7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8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Проведение анализа соблюдения требований законодательства муниципальными бюджетными и автономными учреждениями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по авансированию при заключении договоров (контрактов) на поставку товаров, выполнение работ, оказание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Архангельск",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органы - учредители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rPr>
                <w:rFonts w:ascii="Times New Roman" w:hAnsi="Times New Roman" w:cs="Times New Roman"/>
                <w:spacing w:val="-4"/>
              </w:rPr>
            </w:pPr>
            <w:r w:rsidRPr="00AF26E0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Доля муниципальных бюджетных и автономных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Архангельск", соблюдающих требования законодательства по авансированию при заключении договоров (контрактов) на поставку товаров, выполнение работ,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Обеспечение результативности претензионной работы в досудебном порядке 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Претензия о взыскании неустойки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</w:t>
            </w:r>
            <w:r w:rsid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пальных контрактов, по которым проведена претензионная работа от всех муниципальных контрактов, по которым допущены нарушения их условий поставщиком (подрядчиком, исполнителем)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8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="00A80650" w:rsidRPr="00AF26E0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Обеспечение результативности работы по взысканию неустойки в судебном порядке 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Муниципально – правовой департамент Администрации муниципального образования "Город Архангельск", 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Решение суда в пользу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Доля муниципальных контрактов, по которым получены решения суда в пользу заказчика от всех муниципальных контрактов (требующих взыскания неустойки в судебном порядке), по которым допущены нарушения их условий поставщиком (подрядчиком, исполнителем)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  <w:p w:rsidR="00A80650" w:rsidRPr="00AF26E0" w:rsidRDefault="00A80650" w:rsidP="007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C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50,0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3A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34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Обеспечение результативности работы по взаимодействию с Управлением Федеральной службы судебных приставов по Архангельской области и Ненецкому автономному округу (далее – Управление) по взысканию задолженности в пользу заказчиков, связанной с нарушениями поставщиками (подрядчиками, исполнителями) условий муниципальных контрактов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Муниципально – правовой департамент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1 раз в полугодие</w:t>
            </w:r>
          </w:p>
          <w:p w:rsidR="00A80650" w:rsidRPr="00AF26E0" w:rsidRDefault="00A80650" w:rsidP="0034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Письменный запрос в Управление, документы по повторному предъявлению исполнительного документа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ind w:right="-10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Доля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исполнитель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ных производств, по которым в течение года проводилось письменное взаимодействие 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 xml:space="preserve">с Управлением, </w:t>
            </w:r>
            <w:r w:rsidR="00AF26E0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F26E0">
              <w:rPr>
                <w:rFonts w:ascii="Times New Roman" w:hAnsi="Times New Roman" w:cs="Times New Roman"/>
                <w:color w:val="000000"/>
                <w:spacing w:val="-4"/>
              </w:rPr>
              <w:t>а именно: направлялись письменные запросы с целью получения информации о проведенных мероприятиях по взысканию задолженности, повторное предъявление исполнительного документа, от общего объема таких исполнительных производств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100,0</w:t>
            </w:r>
          </w:p>
        </w:tc>
      </w:tr>
      <w:tr w:rsidR="00A80650" w:rsidRPr="00AF26E0" w:rsidTr="00D10E7E">
        <w:trPr>
          <w:trHeight w:val="7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7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Консолидация экономии бюджетных ассигнований городского бюджета, полученной при осуществлении главными распорядителями средств городского бюджета, муниципальными казенными учреждениями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городского округа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"Город Архангельск" закупок товаров, работ, услуг для обеспечения муниципальных нужд городского округа "Город Архангельск"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финансов Администрации муниципального образования "Город Архангельск",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 течение 2021  года</w:t>
            </w:r>
          </w:p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A80650" w:rsidRPr="00AF26E0" w:rsidRDefault="00A80650" w:rsidP="009A7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Протокол бюджетной комиссии Администрации муниципального образования "Город Архангельск"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Доля экономии бюджетных ассигнований городского бюджета, одобренной бюджетной комиссией Администрации муниципального образования "Город Архангельск" от общего объема экономии бюджетных ассигнований городского бюджета, заявленной главными распорядителями средств городского бюджета в соответствии с пунктом 2</w:t>
            </w:r>
            <w:r w:rsidRPr="00AF26E0"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  <w:t>1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постановления Главы муниципального образования "Город Архангельск" от 21 декабря 2020 года 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270 "Об особен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ностях реализации решения Архангельской городской Думы</w:t>
            </w:r>
            <w:r w:rsid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br/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"О городском бюджете на 2021 год и на плановый период 2022 и 2023 годов"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 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-</w:t>
            </w:r>
          </w:p>
        </w:tc>
      </w:tr>
      <w:tr w:rsidR="00A80650" w:rsidRPr="00AF26E0" w:rsidTr="00D10E7E">
        <w:trPr>
          <w:trHeight w:val="265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V.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ab/>
              <w:t>Снижение (недопущение образования) просроченной кредиторской задолженности</w:t>
            </w:r>
          </w:p>
        </w:tc>
      </w:tr>
      <w:tr w:rsidR="00A80650" w:rsidRPr="00AF26E0" w:rsidTr="00D10E7E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анализа: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рисков возникновения просроченной кредиторской задолженности главных распорядителей средств городского бюджета,  муниципальных учреждений </w:t>
            </w:r>
            <w:r w:rsidR="00753391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городского округа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"Город Архангельск" (далее – кредиторская задолженность), подготовка предложений по недопущению образования кредиторской задолженности;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31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структуры просроченной кредиторской задолженности и причин, влияющих на ее образование, подготовка предложений по погашению кредиторской задолженности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Ежеквартально до 15 числа месяца следующего за отчетным периодом</w:t>
            </w: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департамента финансов Администрации муниципального образования "Город Архангельск", соответствующего заместителя Главы городского округа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Недопущение увеличения просроченной кредиторской задолженности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Сумма просроченной кредиторской задолженности</w:t>
            </w:r>
          </w:p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</w:p>
          <w:p w:rsidR="00A80650" w:rsidRPr="00AF26E0" w:rsidRDefault="00A80650" w:rsidP="007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</w:tbl>
    <w:p w:rsidR="00AF26E0" w:rsidRDefault="00AF26E0">
      <w:r>
        <w:br w:type="page"/>
      </w:r>
    </w:p>
    <w:tbl>
      <w:tblPr>
        <w:tblW w:w="15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277"/>
        <w:gridCol w:w="1843"/>
        <w:gridCol w:w="2126"/>
        <w:gridCol w:w="1417"/>
        <w:gridCol w:w="993"/>
        <w:gridCol w:w="993"/>
        <w:gridCol w:w="994"/>
      </w:tblGrid>
      <w:tr w:rsidR="00A80650" w:rsidRPr="00AF26E0" w:rsidTr="00D10E7E">
        <w:trPr>
          <w:trHeight w:val="199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6A3E74" w:rsidP="00AF26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VI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. 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Оптимизация инвестиционных расходов, субсидий юридическим лицам</w:t>
            </w:r>
          </w:p>
        </w:tc>
      </w:tr>
      <w:tr w:rsidR="00A80650" w:rsidRPr="00AF26E0" w:rsidTr="00D10E7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1.</w:t>
            </w:r>
          </w:p>
          <w:p w:rsidR="00A80650" w:rsidRPr="00AF26E0" w:rsidRDefault="00A80650" w:rsidP="007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Оптимизация расходов на осуществление бюджетных инвестиций путем привлечения инвесторов на основе концессионных соглашений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экономического развития Администрации муниципального образования "Город Архангельск",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департамент городского хозяйства Администрации муниципального образования "Город Архангельск", </w:t>
            </w:r>
          </w:p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департамент транспорта, строительства и городской инфраструктуры Администрации муниципального образования "Город Архангельск", департамент муниципального имущества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7F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Концессионное соглашение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заключенных концессионных соглашений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2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≥1</w:t>
            </w:r>
          </w:p>
        </w:tc>
      </w:tr>
      <w:tr w:rsidR="00A80650" w:rsidRPr="00AF26E0" w:rsidTr="00AF26E0">
        <w:trPr>
          <w:trHeight w:val="4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E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Формирование реестра проектной документации на строительство, реконструкцию, капитальный ремонт объектов жилищно – гражданского назначения и дорожного хозяйства по результатам оценки актуальности имеющейся проектной документации на строительство, реконструкцию, капитальный ремонт объектов жилищно – гражданского назначения и дорожного хозяйства и соответствия ее нормам, текущей и перспективной потребности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 1 июня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Аналитическая записка в адрес заместителя Главы городского округа "Город Архангельск</w:t>
            </w:r>
            <w:r w:rsidRPr="00AF26E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" по инфраструктурному развитию, </w:t>
            </w: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заместителя  Главы городского округа "Город Архангельск" по вопросам экономического развития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Наличие актуального реестра проектной документации на строительство, реконструкцию, капитальный ремонт объектов жилищно – гражданского назначения и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eastAsia="ru-RU"/>
              </w:rPr>
            </w:pPr>
          </w:p>
        </w:tc>
      </w:tr>
      <w:tr w:rsidR="00A80650" w:rsidRPr="00AF26E0" w:rsidTr="00D10E7E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3A5BE8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="00A80650"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Совершенствование порядков предоставления субсидий юридическим лицам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 течение 2021 - 2023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Постановление Администрации муниципального образования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Своевременное приведение порядков предоставления субсидий в соответствие с законодательством Российской Федерации</w:t>
            </w: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Своевременное заключение договоров о предоставлении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A80650" w:rsidRPr="00AF26E0" w:rsidRDefault="00A80650" w:rsidP="00AF26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AF26E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</w:t>
            </w:r>
          </w:p>
        </w:tc>
      </w:tr>
    </w:tbl>
    <w:p w:rsidR="00D10E7E" w:rsidRDefault="00D10E7E" w:rsidP="00D1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1C" w:rsidRPr="00D10E7E" w:rsidRDefault="00D10E7E" w:rsidP="00D1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B3171C" w:rsidRPr="00D10E7E" w:rsidSect="00B1388A">
      <w:headerReference w:type="default" r:id="rId9"/>
      <w:pgSz w:w="16838" w:h="11906" w:orient="landscape"/>
      <w:pgMar w:top="1560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18" w:rsidRDefault="00C91A18" w:rsidP="00AF26E0">
      <w:pPr>
        <w:spacing w:after="0" w:line="240" w:lineRule="auto"/>
      </w:pPr>
      <w:r>
        <w:separator/>
      </w:r>
    </w:p>
  </w:endnote>
  <w:endnote w:type="continuationSeparator" w:id="0">
    <w:p w:rsidR="00C91A18" w:rsidRDefault="00C91A18" w:rsidP="00AF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18" w:rsidRDefault="00C91A18" w:rsidP="00AF26E0">
      <w:pPr>
        <w:spacing w:after="0" w:line="240" w:lineRule="auto"/>
      </w:pPr>
      <w:r>
        <w:separator/>
      </w:r>
    </w:p>
  </w:footnote>
  <w:footnote w:type="continuationSeparator" w:id="0">
    <w:p w:rsidR="00C91A18" w:rsidRDefault="00C91A18" w:rsidP="00AF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4459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F26E0" w:rsidRDefault="00AF26E0">
        <w:pPr>
          <w:pStyle w:val="a4"/>
          <w:jc w:val="center"/>
        </w:pPr>
      </w:p>
      <w:p w:rsidR="00AF26E0" w:rsidRDefault="00AF26E0">
        <w:pPr>
          <w:pStyle w:val="a4"/>
          <w:jc w:val="center"/>
          <w:rPr>
            <w:sz w:val="22"/>
          </w:rPr>
        </w:pPr>
      </w:p>
      <w:p w:rsidR="00AF26E0" w:rsidRDefault="00AF26E0">
        <w:pPr>
          <w:pStyle w:val="a4"/>
          <w:jc w:val="center"/>
          <w:rPr>
            <w:sz w:val="22"/>
          </w:rPr>
        </w:pPr>
        <w:r w:rsidRPr="00AF26E0">
          <w:rPr>
            <w:sz w:val="22"/>
          </w:rPr>
          <w:fldChar w:fldCharType="begin"/>
        </w:r>
        <w:r w:rsidRPr="00AF26E0">
          <w:rPr>
            <w:sz w:val="22"/>
          </w:rPr>
          <w:instrText>PAGE   \* MERGEFORMAT</w:instrText>
        </w:r>
        <w:r w:rsidRPr="00AF26E0">
          <w:rPr>
            <w:sz w:val="22"/>
          </w:rPr>
          <w:fldChar w:fldCharType="separate"/>
        </w:r>
        <w:r w:rsidR="00B1388A">
          <w:rPr>
            <w:noProof/>
            <w:sz w:val="22"/>
          </w:rPr>
          <w:t>3</w:t>
        </w:r>
        <w:r w:rsidRPr="00AF26E0">
          <w:rPr>
            <w:sz w:val="22"/>
          </w:rPr>
          <w:fldChar w:fldCharType="end"/>
        </w:r>
      </w:p>
      <w:tbl>
        <w:tblPr>
          <w:tblW w:w="15031" w:type="dxa"/>
          <w:tblInd w:w="-34" w:type="dxa"/>
          <w:tblLayout w:type="fixed"/>
          <w:tblLook w:val="04A0" w:firstRow="1" w:lastRow="0" w:firstColumn="1" w:lastColumn="0" w:noHBand="0" w:noVBand="1"/>
        </w:tblPr>
        <w:tblGrid>
          <w:gridCol w:w="560"/>
          <w:gridCol w:w="2843"/>
          <w:gridCol w:w="1985"/>
          <w:gridCol w:w="1277"/>
          <w:gridCol w:w="1843"/>
          <w:gridCol w:w="2126"/>
          <w:gridCol w:w="1417"/>
          <w:gridCol w:w="993"/>
          <w:gridCol w:w="993"/>
          <w:gridCol w:w="994"/>
        </w:tblGrid>
        <w:tr w:rsidR="00AF26E0" w:rsidRPr="009C414E" w:rsidTr="002F1909">
          <w:trPr>
            <w:trHeight w:val="63"/>
          </w:trPr>
          <w:tc>
            <w:tcPr>
              <w:tcW w:w="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AF26E0" w:rsidRPr="003A5BE8" w:rsidRDefault="00AF26E0" w:rsidP="002F190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7030A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7030A0"/>
                  <w:lang w:eastAsia="ru-RU"/>
                </w:rPr>
                <w:t>1</w:t>
              </w:r>
            </w:p>
          </w:tc>
          <w:tc>
            <w:tcPr>
              <w:tcW w:w="2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AF26E0" w:rsidRPr="002D6548" w:rsidRDefault="00AF26E0" w:rsidP="002F1909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</w:rPr>
              </w:pPr>
              <w:r>
                <w:rPr>
                  <w:rFonts w:ascii="Times New Roman" w:eastAsia="Calibri" w:hAnsi="Times New Roman" w:cs="Times New Roman"/>
                </w:rPr>
                <w:t>2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AF26E0" w:rsidRPr="00EF0230" w:rsidRDefault="00AF26E0" w:rsidP="002F190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</w:t>
              </w:r>
            </w:p>
          </w:tc>
          <w:tc>
            <w:tcPr>
              <w:tcW w:w="12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AF26E0" w:rsidRPr="002D6548" w:rsidRDefault="00AF26E0" w:rsidP="002F190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AF26E0" w:rsidRPr="002D6548" w:rsidRDefault="00AF26E0" w:rsidP="002F190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5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AF26E0" w:rsidRPr="002D6548" w:rsidRDefault="00AF26E0" w:rsidP="002F190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AF26E0" w:rsidRPr="002D6548" w:rsidRDefault="00AF26E0" w:rsidP="002F190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AF26E0" w:rsidRPr="002D6548" w:rsidRDefault="00AF26E0" w:rsidP="002F190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8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AF26E0" w:rsidRPr="002D6548" w:rsidRDefault="00AF26E0" w:rsidP="002F190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9</w:t>
              </w:r>
            </w:p>
          </w:tc>
          <w:tc>
            <w:tcPr>
              <w:tcW w:w="99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AF26E0" w:rsidRPr="002D6548" w:rsidRDefault="00AF26E0" w:rsidP="002F190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</w:t>
              </w:r>
            </w:p>
          </w:tc>
        </w:tr>
      </w:tbl>
      <w:p w:rsidR="00AF26E0" w:rsidRPr="00AF26E0" w:rsidRDefault="00C91A18">
        <w:pPr>
          <w:pStyle w:val="a4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732AC"/>
    <w:rsid w:val="00183714"/>
    <w:rsid w:val="00192913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597C"/>
    <w:rsid w:val="00297821"/>
    <w:rsid w:val="002B1D0A"/>
    <w:rsid w:val="002B24FF"/>
    <w:rsid w:val="002B47B3"/>
    <w:rsid w:val="002B4DC2"/>
    <w:rsid w:val="002B6CD7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26E0"/>
    <w:rsid w:val="00AF3B63"/>
    <w:rsid w:val="00B11F76"/>
    <w:rsid w:val="00B1388A"/>
    <w:rsid w:val="00B16DA0"/>
    <w:rsid w:val="00B2373D"/>
    <w:rsid w:val="00B262F7"/>
    <w:rsid w:val="00B3171C"/>
    <w:rsid w:val="00B3236F"/>
    <w:rsid w:val="00B329BA"/>
    <w:rsid w:val="00B3418F"/>
    <w:rsid w:val="00B34298"/>
    <w:rsid w:val="00B35D1E"/>
    <w:rsid w:val="00B362B6"/>
    <w:rsid w:val="00B36AF9"/>
    <w:rsid w:val="00B36F73"/>
    <w:rsid w:val="00B377D7"/>
    <w:rsid w:val="00B37BBD"/>
    <w:rsid w:val="00B42906"/>
    <w:rsid w:val="00B43393"/>
    <w:rsid w:val="00B43686"/>
    <w:rsid w:val="00B447CC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91A18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0E7E"/>
    <w:rsid w:val="00D1249A"/>
    <w:rsid w:val="00D17A7C"/>
    <w:rsid w:val="00D17AA6"/>
    <w:rsid w:val="00D23453"/>
    <w:rsid w:val="00D2436F"/>
    <w:rsid w:val="00D30E5C"/>
    <w:rsid w:val="00D37CE6"/>
    <w:rsid w:val="00D461F1"/>
    <w:rsid w:val="00D500E1"/>
    <w:rsid w:val="00D51C71"/>
    <w:rsid w:val="00D574AB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CEFB-5753-4E8A-99D1-688CF17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VasilevaAV</cp:lastModifiedBy>
  <cp:revision>8</cp:revision>
  <cp:lastPrinted>2021-04-28T11:04:00Z</cp:lastPrinted>
  <dcterms:created xsi:type="dcterms:W3CDTF">2021-04-27T09:53:00Z</dcterms:created>
  <dcterms:modified xsi:type="dcterms:W3CDTF">2021-04-28T12:27:00Z</dcterms:modified>
</cp:coreProperties>
</file>