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"Промышленность: бухгалтерский учет и налогообложение", 2013, N 12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ОТВЕТСТВЕННОСТЬ ЗА НЕНАДЛЕЖАЩЕЕ ИСПОЛНЕНИЕ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ОБЯЗАТЕЛЬСТВА ПО ГОСКОНТРАКТУ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заключении государственного или муниципального контракта его стороны берут на себя определенные обязательства. Как известно, исполнение обязательств может обеспечиваться различными способами (например, неустойкой, залогом, поручительством). Для государственного или муниципального контракта в качества способа исполнения обязательств выбрана неустойка. Каким образом определяется ее размер с учетом изменений, вступающих в силу с 01.01.2014?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01.01.2014 закупки товаров, работ, услуг для обеспечения государственных и муниципальных нужд будут осуществляться в соответствии с требованиями, установленными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 К отношениям, возникшим до названной даты, данный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применяется в части прав и обязанностей, которые возникнут после дня его вступления в силу, если иное не предусмотрено </w:t>
      </w:r>
      <w:hyperlink r:id="rId7" w:history="1">
        <w:r>
          <w:rPr>
            <w:rFonts w:ascii="Calibri" w:hAnsi="Calibri" w:cs="Calibri"/>
            <w:color w:val="0000FF"/>
          </w:rPr>
          <w:t>ст. 112</w:t>
        </w:r>
      </w:hyperlink>
      <w:r>
        <w:rPr>
          <w:rFonts w:ascii="Calibri" w:hAnsi="Calibri" w:cs="Calibri"/>
        </w:rPr>
        <w:t xml:space="preserve"> Закона о контрактной системе. В частности, государственные и муниципальные контракты, заключенные до указанной даты, сохраняют свою силу. Напомним: они заключены с учетом положений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нужд", </w:t>
      </w:r>
      <w:proofErr w:type="gramStart"/>
      <w:r>
        <w:rPr>
          <w:rFonts w:ascii="Calibri" w:hAnsi="Calibri" w:cs="Calibri"/>
        </w:rPr>
        <w:t>который</w:t>
      </w:r>
      <w:proofErr w:type="gramEnd"/>
      <w:r>
        <w:rPr>
          <w:rFonts w:ascii="Calibri" w:hAnsi="Calibri" w:cs="Calibri"/>
        </w:rPr>
        <w:t xml:space="preserve"> утрачивает силу с 01.01.2014.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п. 4 ст. 34</w:t>
        </w:r>
      </w:hyperlink>
      <w:r>
        <w:rPr>
          <w:rFonts w:ascii="Calibri" w:hAnsi="Calibri" w:cs="Calibri"/>
        </w:rPr>
        <w:t xml:space="preserve"> Закона о контрактной системе </w:t>
      </w:r>
      <w:proofErr w:type="gramStart"/>
      <w:r>
        <w:rPr>
          <w:rFonts w:ascii="Calibri" w:hAnsi="Calibri" w:cs="Calibri"/>
        </w:rPr>
        <w:t>условие</w:t>
      </w:r>
      <w:proofErr w:type="gramEnd"/>
      <w:r>
        <w:rPr>
          <w:rFonts w:ascii="Calibri" w:hAnsi="Calibri" w:cs="Calibri"/>
        </w:rPr>
        <w:t xml:space="preserve">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относится к обязательным условиям контракта.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Мера ответственности за ненадлежащее исполнение заказчиком или поставщиком обязательств, предусмотренных контрактом, заключается в уплате неустоек (в виде штрафов или пеней). Как сказано в </w:t>
      </w:r>
      <w:hyperlink r:id="rId10" w:history="1">
        <w:r>
          <w:rPr>
            <w:rFonts w:ascii="Calibri" w:hAnsi="Calibri" w:cs="Calibri"/>
            <w:color w:val="0000FF"/>
          </w:rPr>
          <w:t>п. 1 ст. 330</w:t>
        </w:r>
      </w:hyperlink>
      <w:r>
        <w:rPr>
          <w:rFonts w:ascii="Calibri" w:hAnsi="Calibri" w:cs="Calibri"/>
        </w:rPr>
        <w:t xml:space="preserve"> ГК РФ,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Исходя из требований законодательства о государственных закупках, действующего до 01.01.2014, за просрочку исполнения обязательства, предусмотренного контрактом, заказчик должен уплатить за каждый день просрочки неустойку (штраф, пени) в размере 1/300 ставки рефинансирования Банка России, действующей на день ее уплаты (то есть в таком случае применяется законная неустойка). (Кредитор вправе требовать уплаты неустойки, определенной законом, вне зависимости от того, предусмотрена ли обязанность ее уплаты соглашением сторон (</w:t>
      </w:r>
      <w:hyperlink r:id="rId11" w:history="1">
        <w:r>
          <w:rPr>
            <w:rFonts w:ascii="Calibri" w:hAnsi="Calibri" w:cs="Calibri"/>
            <w:color w:val="0000FF"/>
          </w:rPr>
          <w:t>п. 1 ст. 332</w:t>
        </w:r>
      </w:hyperlink>
      <w:r>
        <w:rPr>
          <w:rFonts w:ascii="Calibri" w:hAnsi="Calibri" w:cs="Calibri"/>
        </w:rPr>
        <w:t xml:space="preserve"> ГК РФ).) Для проштрафившегося поставщика размер неустойки устанавливается контрактом и должен составлять не менее 1/300 ставки рефинансирования Банка России, действующей на день уплаты штрафа, пени. При этом условие об ответственности поставщика за неисполнение или ненадлежащее исполнение обязательства, предусмотренного контрактом, - обязательное условие контракта.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требований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 при </w:t>
      </w:r>
      <w:r>
        <w:rPr>
          <w:rFonts w:ascii="Calibri" w:hAnsi="Calibri" w:cs="Calibri"/>
          <w:b/>
          <w:bCs/>
        </w:rPr>
        <w:t>просрочке исполнения обязательства</w:t>
      </w:r>
      <w:r>
        <w:rPr>
          <w:rFonts w:ascii="Calibri" w:hAnsi="Calibri" w:cs="Calibri"/>
        </w:rPr>
        <w:t xml:space="preserve">, предусмотренного контрактом, начисляется пеня, а вот ненадлежащее исполнение обязательств </w:t>
      </w:r>
      <w:r>
        <w:rPr>
          <w:rFonts w:ascii="Calibri" w:hAnsi="Calibri" w:cs="Calibri"/>
          <w:b/>
          <w:bCs/>
        </w:rPr>
        <w:t>в иных случаях</w:t>
      </w:r>
      <w:r>
        <w:rPr>
          <w:rFonts w:ascii="Calibri" w:hAnsi="Calibri" w:cs="Calibri"/>
        </w:rPr>
        <w:t xml:space="preserve"> грозит штрафом. Причем порядок расчета размера пеней отличается от порядка установления суммы штрафа.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Обратите внимание: 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 (</w:t>
      </w:r>
      <w:hyperlink r:id="rId13" w:history="1">
        <w:r>
          <w:rPr>
            <w:rFonts w:ascii="Calibri" w:hAnsi="Calibri" w:cs="Calibri"/>
            <w:color w:val="0000FF"/>
          </w:rPr>
          <w:t>п. 9 ст. 34</w:t>
        </w:r>
      </w:hyperlink>
      <w:r>
        <w:rPr>
          <w:rFonts w:ascii="Calibri" w:hAnsi="Calibri" w:cs="Calibri"/>
        </w:rPr>
        <w:t xml:space="preserve"> Закона о контрактной системе).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>Ответственность заказчика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заказчик провинился, поставщик вправе потребовать уплаты неустоек в силу </w:t>
      </w:r>
      <w:hyperlink r:id="rId14" w:history="1">
        <w:r>
          <w:rPr>
            <w:rFonts w:ascii="Calibri" w:hAnsi="Calibri" w:cs="Calibri"/>
            <w:color w:val="0000FF"/>
          </w:rPr>
          <w:t>п. 5 ст. 34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Пеня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за днем истечения срока исполнения обязательства, установленного контрактом. Размер пени составляет 1/300 на дату уплаты пеней ставки рефинансирования Банка России от не уплаченной в срок суммы. Следовательно, размер пеней, подлежащих уплате заказчиком в связи с просрочкой исполнения обязательства </w:t>
      </w:r>
      <w:r>
        <w:rPr>
          <w:rFonts w:ascii="Calibri" w:hAnsi="Calibri" w:cs="Calibri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>
            <v:imagedata r:id="rId15" o:title=""/>
          </v:shape>
        </w:pict>
      </w:r>
      <w:r>
        <w:rPr>
          <w:rFonts w:ascii="Calibri" w:hAnsi="Calibri" w:cs="Calibri"/>
        </w:rPr>
        <w:t>, устанавливается по формуле</w:t>
      </w:r>
      <w:proofErr w:type="gramStart"/>
      <w:r>
        <w:rPr>
          <w:rFonts w:ascii="Calibri" w:hAnsi="Calibri" w:cs="Calibri"/>
        </w:rPr>
        <w:t>:</w:t>
      </w:r>
      <w:proofErr w:type="gramEnd"/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26" type="#_x0000_t75" style="width:142.5pt;height:18.75pt">
            <v:imagedata r:id="rId16" o:title=""/>
          </v:shape>
        </w:pict>
      </w:r>
      <w:r>
        <w:rPr>
          <w:rFonts w:ascii="Calibri" w:hAnsi="Calibri" w:cs="Calibri"/>
        </w:rPr>
        <w:t>,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</w:t>
      </w:r>
      <w:proofErr w:type="gramStart"/>
      <w:r>
        <w:rPr>
          <w:rFonts w:ascii="Calibri" w:hAnsi="Calibri" w:cs="Calibri"/>
        </w:rPr>
        <w:t xml:space="preserve">: - </w:t>
      </w:r>
      <w:r>
        <w:rPr>
          <w:rFonts w:ascii="Calibri" w:hAnsi="Calibri" w:cs="Calibri"/>
          <w:position w:val="-14"/>
        </w:rPr>
        <w:pict>
          <v:shape id="_x0000_i1027" type="#_x0000_t75" style="width:20.25pt;height:18.75pt">
            <v:imagedata r:id="rId17" o:title=""/>
          </v:shape>
        </w:pict>
      </w:r>
      <w:r>
        <w:rPr>
          <w:rFonts w:ascii="Calibri" w:hAnsi="Calibri" w:cs="Calibri"/>
        </w:rPr>
        <w:t xml:space="preserve"> - </w:t>
      </w:r>
      <w:proofErr w:type="gramEnd"/>
      <w:r>
        <w:rPr>
          <w:rFonts w:ascii="Calibri" w:hAnsi="Calibri" w:cs="Calibri"/>
        </w:rPr>
        <w:t>ставка рефинансирования Банка России, установленная на дату уплаты пеней;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- сумма обязательства по контракту, не уплаченная в установленный срок;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ДП - количество дней просрочки.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Штраф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штрафа устанавливается контрактом в виде фиксированной суммы, определенной в порядке, установленном Правительством РФ. Данный порядок утвержден </w:t>
      </w:r>
      <w:hyperlink r:id="rId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25.11.2013 N 1063, вступающим в силу с 01.01.2014.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Итак, размер штрафа рассчитывается как процент цены контракта или ее значения, определяемого в случаях, предусмотренных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системе. Размер процента зависит от цены контракта и составляет: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- 2,5% - если цена контракта не превышает 3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- 2% - в ситуации, когда цена контракта составляет от 3 до 50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- 1,5% - при цене контракта от 50 до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- 0,5% - в случае, когда цена контракта превышает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размер штрафа (Ш) определяется по формуле: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Ш</w:t>
      </w:r>
      <w:proofErr w:type="gramEnd"/>
      <w:r>
        <w:rPr>
          <w:rFonts w:ascii="Calibri" w:hAnsi="Calibri" w:cs="Calibri"/>
        </w:rPr>
        <w:t xml:space="preserve"> = Ц x Пр,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где: - </w:t>
      </w:r>
      <w:proofErr w:type="gramStart"/>
      <w:r>
        <w:rPr>
          <w:rFonts w:ascii="Calibri" w:hAnsi="Calibri" w:cs="Calibri"/>
        </w:rPr>
        <w:t>Ц</w:t>
      </w:r>
      <w:proofErr w:type="gramEnd"/>
      <w:r>
        <w:rPr>
          <w:rFonts w:ascii="Calibri" w:hAnsi="Calibri" w:cs="Calibri"/>
        </w:rPr>
        <w:t xml:space="preserve"> - цена контракта;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</w:t>
      </w:r>
      <w:proofErr w:type="gramEnd"/>
      <w:r>
        <w:rPr>
          <w:rFonts w:ascii="Calibri" w:hAnsi="Calibri" w:cs="Calibri"/>
        </w:rPr>
        <w:t xml:space="preserve"> - процент цены контракта (2,5, 2, 1,5 или 0,5%).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Ответственность поставщика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ненадлежащем исполнении поставщиком взятых на себя обязательств заказчик направляет ему требование об уплате неустоек (штрафов, пеней) (</w:t>
      </w:r>
      <w:hyperlink r:id="rId20" w:history="1">
        <w:r>
          <w:rPr>
            <w:rFonts w:ascii="Calibri" w:hAnsi="Calibri" w:cs="Calibri"/>
            <w:color w:val="0000FF"/>
          </w:rPr>
          <w:t>п. 6 ст. 34</w:t>
        </w:r>
      </w:hyperlink>
      <w:r>
        <w:rPr>
          <w:rFonts w:ascii="Calibri" w:hAnsi="Calibri" w:cs="Calibri"/>
        </w:rPr>
        <w:t xml:space="preserve"> Закона о контрактной системе).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Пеня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Поставщик уплачивает пеню за тот же срок, что и заказчик (за каждый день просрочки исполнения обязательства начиная со дня, следующего за днем истечения срока исполнения). А вот ее размер рассчитывается по-другому - он определяется Правительством РФ. При этом установлена минимальная величина пени. Размер пени не может составлять менее 1/300 ставки рефинансирования, действующей на дату уплаты пени, от цены контракта, уменьшенной на сумму, пропорциональную объему обязательств, предусмотренных контрактом и фактически исполненных поставщиком (</w:t>
      </w:r>
      <w:hyperlink r:id="rId21" w:history="1">
        <w:r>
          <w:rPr>
            <w:rFonts w:ascii="Calibri" w:hAnsi="Calibri" w:cs="Calibri"/>
            <w:color w:val="0000FF"/>
          </w:rPr>
          <w:t>п. 7 ст. 34</w:t>
        </w:r>
      </w:hyperlink>
      <w:r>
        <w:rPr>
          <w:rFonts w:ascii="Calibri" w:hAnsi="Calibri" w:cs="Calibri"/>
        </w:rPr>
        <w:t xml:space="preserve"> Закона о контрактной системе).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Размер пеней, подлежащих уплате поставщиком в связи с просрочкой исполнения обязательства </w:t>
      </w:r>
      <w:r>
        <w:rPr>
          <w:rFonts w:ascii="Calibri" w:hAnsi="Calibri" w:cs="Calibri"/>
          <w:position w:val="-12"/>
        </w:rPr>
        <w:pict>
          <v:shape id="_x0000_i1028" type="#_x0000_t75" style="width:40.5pt;height:18pt">
            <v:imagedata r:id="rId22" o:title=""/>
          </v:shape>
        </w:pict>
      </w:r>
      <w:r>
        <w:rPr>
          <w:rFonts w:ascii="Calibri" w:hAnsi="Calibri" w:cs="Calibri"/>
        </w:rPr>
        <w:t>, рассчитывается по формуле</w:t>
      </w:r>
      <w:proofErr w:type="gramStart"/>
      <w:r>
        <w:rPr>
          <w:rFonts w:ascii="Calibri" w:hAnsi="Calibri" w:cs="Calibri"/>
        </w:rPr>
        <w:t>:</w:t>
      </w:r>
      <w:proofErr w:type="gramEnd"/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29" type="#_x0000_t75" style="width:98.25pt;height:18pt">
            <v:imagedata r:id="rId23" o:title=""/>
          </v:shape>
        </w:pict>
      </w:r>
      <w:r>
        <w:rPr>
          <w:rFonts w:ascii="Calibri" w:hAnsi="Calibri" w:cs="Calibri"/>
        </w:rPr>
        <w:t>,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где: - </w:t>
      </w:r>
      <w:proofErr w:type="gramStart"/>
      <w:r>
        <w:rPr>
          <w:rFonts w:ascii="Calibri" w:hAnsi="Calibri" w:cs="Calibri"/>
        </w:rPr>
        <w:t>Ц</w:t>
      </w:r>
      <w:proofErr w:type="gramEnd"/>
      <w:r>
        <w:rPr>
          <w:rFonts w:ascii="Calibri" w:hAnsi="Calibri" w:cs="Calibri"/>
        </w:rPr>
        <w:t xml:space="preserve"> - цена контракта;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- стоимость фактически исполненного в установленный срок поставщиком обязательства по контракту. Она определяется на основании документа о приемке товаров (результатов выполненных работ, оказанных услуг), включая отдельные этапы исполнения;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- размер ставки.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свою очередь, размер ставки (С) устанавливается по формуле: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0" type="#_x0000_t75" style="width:71.25pt;height:18.75pt">
            <v:imagedata r:id="rId24" o:title=""/>
          </v:shape>
        </w:pict>
      </w:r>
      <w:r>
        <w:rPr>
          <w:rFonts w:ascii="Calibri" w:hAnsi="Calibri" w:cs="Calibri"/>
        </w:rPr>
        <w:t>,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где: - </w:t>
      </w:r>
      <w:r>
        <w:rPr>
          <w:rFonts w:ascii="Calibri" w:hAnsi="Calibri" w:cs="Calibri"/>
          <w:position w:val="-14"/>
        </w:rPr>
        <w:pict>
          <v:shape id="_x0000_i1031" type="#_x0000_t75" style="width:20.25pt;height:18.75pt">
            <v:imagedata r:id="rId25" o:title=""/>
          </v:shape>
        </w:pict>
      </w:r>
      <w:r>
        <w:rPr>
          <w:rFonts w:ascii="Calibri" w:hAnsi="Calibri" w:cs="Calibri"/>
        </w:rPr>
        <w:t xml:space="preserve"> - размер ставки рефинансирования, установленной Банком России на дату уплаты пени, определяемый с учетом коэффициента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>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ДП - количество дней просрочки.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Коэффициент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 xml:space="preserve"> определяется по формуле: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= ДП / ДК x 100,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 - ДП - количество дней просрочки;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ДК - срок исполнения обязательства по контракту (количество дней).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 xml:space="preserve"> составляет от 0 до 50%, размер ставки </w:t>
      </w:r>
      <w:r>
        <w:rPr>
          <w:rFonts w:ascii="Calibri" w:hAnsi="Calibri" w:cs="Calibri"/>
          <w:position w:val="-14"/>
        </w:rPr>
        <w:pict>
          <v:shape id="_x0000_i1032" type="#_x0000_t75" style="width:30.75pt;height:18.75pt">
            <v:imagedata r:id="rId26" o:title=""/>
          </v:shape>
        </w:pict>
      </w:r>
      <w:r>
        <w:rPr>
          <w:rFonts w:ascii="Calibri" w:hAnsi="Calibri" w:cs="Calibri"/>
        </w:rPr>
        <w:t xml:space="preserve"> принимается равным 0,01 ставки рефинансирования Банка России на дату уплаты пени. При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 xml:space="preserve"> от 50 до 100% размер ставки принимается равным 0,02 ставки рефинансирования Банка России на дату уплаты пени. Размер ставки принимается равным 0,03 ставки рефинансирования Банка России на дату уплаты пени, если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 xml:space="preserve"> равно 100% и более.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72"/>
      <w:bookmarkEnd w:id="5"/>
      <w:r>
        <w:rPr>
          <w:rFonts w:ascii="Calibri" w:hAnsi="Calibri" w:cs="Calibri"/>
        </w:rPr>
        <w:t>Штраф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7" w:history="1">
        <w:r>
          <w:rPr>
            <w:rFonts w:ascii="Calibri" w:hAnsi="Calibri" w:cs="Calibri"/>
            <w:color w:val="0000FF"/>
          </w:rPr>
          <w:t>п. 8 ст. 34</w:t>
        </w:r>
      </w:hyperlink>
      <w:r>
        <w:rPr>
          <w:rFonts w:ascii="Calibri" w:hAnsi="Calibri" w:cs="Calibri"/>
        </w:rPr>
        <w:t xml:space="preserve"> Закона о контрактной системе размер штрафа устанавливается контрактом в виде фиксированной суммы, определенной в порядке, установленном Правительством РФ. Как и в случае с заказчиком, для поставщика размер штрафа определяется как процент цены контракта или ее значения. Размер процента равен: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- 10% - если цена контракта не превышает 3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- 5% - при цене контракта от 3 до 50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- 1% - если цена контракта составляет от 50 до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- 0,5% - в случае, если цена контракта превышает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* * *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вступлением в силу с 01.01.2014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 за просрочку исполнения обязательства, предусмотренного контрактом, по которому осуществляется закупка товаров, работ, услуг для обеспечения государственных и муниципальных нужд, и заказчик, и поставщик будут уплачивать пени. В иных случаях ненадлежащего исполнения обязательств уплате подлежит штраф. Особенности расчета неустойки определены Правительством РФ.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пеней, уплачиваемых заказчиком за каждый день просрочки, рассчитывается как 1/300 ставки рефинансирования Банка России от суммы, не уплаченной в срок. Сумма пеней, подлежащая взысканию с поставщика, устанавливается по более сложной формуле и </w:t>
      </w:r>
      <w:proofErr w:type="gramStart"/>
      <w:r>
        <w:rPr>
          <w:rFonts w:ascii="Calibri" w:hAnsi="Calibri" w:cs="Calibri"/>
        </w:rPr>
        <w:t>зависит</w:t>
      </w:r>
      <w:proofErr w:type="gramEnd"/>
      <w:r>
        <w:rPr>
          <w:rFonts w:ascii="Calibri" w:hAnsi="Calibri" w:cs="Calibri"/>
        </w:rPr>
        <w:t xml:space="preserve"> в том числе от коэффициента, рассчитываемого как отношение количества дней просрочки к количеству дней, отведенных на исполнение обязательства.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Сумма штрафа (фиксированная сумма) определяется как процент цены контракта. Для поставщиков и заказчиков установлены разные величины процентов, зависящие от цены контракта.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Кстати, Правительство РФ также разработало: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реестра недобросовестных поставщиков (подрядчиков, исполнителей) (Постановление от 25.11.2013 N 1062, которое начнет действовать 01.01.2014). В данный </w:t>
      </w:r>
      <w:hyperlink r:id="rId30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включаются сведения об участниках закупок, уклонившихся от заключения контрактов, и о поставщиках, с которыми контракты расторгнуты по решению суда или которые допустили существенные нарушения условий контрактов, что стало причиной для одностороннего отказа заказчика от их исполнения;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1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формированию, утверждению и ведению планов закупок товаров, работ, услуг для обеспечения нужд субъекта РФ и муниципальных нужд, а также </w:t>
      </w:r>
      <w:hyperlink r:id="rId32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форме планов закупок товаров, работ, услуг (Постановление от 21.11.2013 N 1043, которое вступит в силу с 01.01.2015). Планы закупок формируются заказчиками исходя из целей осуществления закупок с учетом требований к закупаемым заказчиками товарам, работам, услугам (в том числе предельной цены товаров, работ, услуг) и нормативных затрат на обеспечение функций заказчиков (</w:t>
      </w:r>
      <w:hyperlink r:id="rId33" w:history="1">
        <w:r>
          <w:rPr>
            <w:rFonts w:ascii="Calibri" w:hAnsi="Calibri" w:cs="Calibri"/>
            <w:color w:val="0000FF"/>
          </w:rPr>
          <w:t>п. 1 ст. 17</w:t>
        </w:r>
      </w:hyperlink>
      <w:r>
        <w:rPr>
          <w:rFonts w:ascii="Calibri" w:hAnsi="Calibri" w:cs="Calibri"/>
        </w:rPr>
        <w:t xml:space="preserve"> Закона о контрактной системе, которая начнет действовать с 01.01.2015);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4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формированию, утверждению и ведению планов-графиков закупок товаров, работ, услуг для обеспечения нужд субъекта РФ и муниципальных нужд, </w:t>
      </w:r>
      <w:hyperlink r:id="rId35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форме планов-графиков закупок товаров, работ, услуг (Постановление от 21.11.2013 N 1044, вступающее в силу с 01.01.2015). Планы-графики должны содержать перечень закупок товаров, работ, услуг для обеспечения государственных и муниципальных нужд на финансовый год и являются основанием для осуществления закупок (они формируются заказчиками в соответствии с планами закупок) (</w:t>
      </w:r>
      <w:hyperlink r:id="rId36" w:history="1">
        <w:r>
          <w:rPr>
            <w:rFonts w:ascii="Calibri" w:hAnsi="Calibri" w:cs="Calibri"/>
            <w:color w:val="0000FF"/>
          </w:rPr>
          <w:t>п. п. 1</w:t>
        </w:r>
      </w:hyperlink>
      <w:r>
        <w:rPr>
          <w:rFonts w:ascii="Calibri" w:hAnsi="Calibri" w:cs="Calibri"/>
        </w:rPr>
        <w:t xml:space="preserve">, </w:t>
      </w:r>
      <w:hyperlink r:id="rId37" w:history="1">
        <w:r>
          <w:rPr>
            <w:rFonts w:ascii="Calibri" w:hAnsi="Calibri" w:cs="Calibri"/>
            <w:color w:val="0000FF"/>
          </w:rPr>
          <w:t>2 ст. 21</w:t>
        </w:r>
      </w:hyperlink>
      <w:r>
        <w:rPr>
          <w:rFonts w:ascii="Calibri" w:hAnsi="Calibri" w:cs="Calibri"/>
        </w:rPr>
        <w:t xml:space="preserve"> Закона о контрактной системе, которые начнут действовать с 01.01.2015).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Г.К.Габелли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Эксперт журнала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"Промышленность: бухгалтерский учет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налогообложение"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Подписано в печать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06.12.2013</w:t>
      </w: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717A" w:rsidRDefault="009871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717A" w:rsidRDefault="009871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B7D9C" w:rsidRDefault="00CB7D9C">
      <w:bookmarkStart w:id="6" w:name="_GoBack"/>
      <w:bookmarkEnd w:id="6"/>
    </w:p>
    <w:sectPr w:rsidR="00CB7D9C" w:rsidSect="001D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7A"/>
    <w:rsid w:val="0098717A"/>
    <w:rsid w:val="00C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698E32EF77EBCFFFAE4EE08BA7BEF6FF06CDCBE590413094C9050D9561BH" TargetMode="External"/><Relationship Id="rId13" Type="http://schemas.openxmlformats.org/officeDocument/2006/relationships/hyperlink" Target="consultantplus://offline/ref=3A9698E32EF77EBCFFFAE4EE08BA7BEF6FF163D4B45E0413094C9050D96B489E833BB1DB2136D1615A1FH" TargetMode="External"/><Relationship Id="rId18" Type="http://schemas.openxmlformats.org/officeDocument/2006/relationships/hyperlink" Target="consultantplus://offline/ref=3A9698E32EF77EBCFFFAE4EE08BA7BEF6FF160DDB4590413094C9050D9561BH" TargetMode="External"/><Relationship Id="rId26" Type="http://schemas.openxmlformats.org/officeDocument/2006/relationships/image" Target="media/image8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9698E32EF77EBCFFFAE4EE08BA7BEF6FF163D4B45E0413094C9050D96B489E833BB1DB2136D1615A11H" TargetMode="External"/><Relationship Id="rId34" Type="http://schemas.openxmlformats.org/officeDocument/2006/relationships/hyperlink" Target="consultantplus://offline/ref=3A9698E32EF77EBCFFFAE4EE08BA7BEF6FF160D3B4500413094C9050D96B489E833BB1DB2136D5605A17H" TargetMode="External"/><Relationship Id="rId7" Type="http://schemas.openxmlformats.org/officeDocument/2006/relationships/hyperlink" Target="consultantplus://offline/ref=3A9698E32EF77EBCFFFAE4EE08BA7BEF6FF163D4B45E0413094C9050D96B489E833BB1DB2137D3605A16H" TargetMode="External"/><Relationship Id="rId12" Type="http://schemas.openxmlformats.org/officeDocument/2006/relationships/hyperlink" Target="consultantplus://offline/ref=3A9698E32EF77EBCFFFAE4EE08BA7BEF6FF163D4B45E0413094C9050D96B489E833BB1DB2137D2605A10H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hyperlink" Target="consultantplus://offline/ref=3A9698E32EF77EBCFFFAE4EE08BA7BEF6FF163D4B45E0413094C9050D96B489E833BB1DB2136D4625A1FH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hyperlink" Target="consultantplus://offline/ref=3A9698E32EF77EBCFFFAE4EE08BA7BEF6FF163D4B45E0413094C9050D96B489E833BB1DB2137D2605A11H" TargetMode="External"/><Relationship Id="rId29" Type="http://schemas.openxmlformats.org/officeDocument/2006/relationships/hyperlink" Target="consultantplus://offline/ref=3A9698E32EF77EBCFFFAE4EE08BA7BEF6FF160DCB2590413094C9050D96B489E833BB1DB2136D5605A1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9698E32EF77EBCFFFAE4EE08BA7BEF6FF163D4B45E0413094C9050D9561BH" TargetMode="External"/><Relationship Id="rId11" Type="http://schemas.openxmlformats.org/officeDocument/2006/relationships/hyperlink" Target="consultantplus://offline/ref=3A9698E32EF77EBCFFFAE4EE08BA7BEF6FF167DDB25F0413094C9050D96B489E833BB1DB2137D3635A13H" TargetMode="External"/><Relationship Id="rId24" Type="http://schemas.openxmlformats.org/officeDocument/2006/relationships/image" Target="media/image6.wmf"/><Relationship Id="rId32" Type="http://schemas.openxmlformats.org/officeDocument/2006/relationships/hyperlink" Target="consultantplus://offline/ref=3A9698E32EF77EBCFFFAE4EE08BA7BEF6FF160D3B3590413094C9050D96B489E833BB1DB2136D5655A13H" TargetMode="External"/><Relationship Id="rId37" Type="http://schemas.openxmlformats.org/officeDocument/2006/relationships/hyperlink" Target="consultantplus://offline/ref=3A9698E32EF77EBCFFFAE4EE08BA7BEF6FF163D4B45E0413094C9050D96B489E833BB1DB2136D4685A17H" TargetMode="External"/><Relationship Id="rId5" Type="http://schemas.openxmlformats.org/officeDocument/2006/relationships/hyperlink" Target="consultantplus://offline/ref=3A9698E32EF77EBCFFFAE4EE08BA7BEF6FF163D4B45E0413094C9050D9561BH" TargetMode="Externa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hyperlink" Target="consultantplus://offline/ref=3A9698E32EF77EBCFFFAE4EE08BA7BEF6FF163D4B45E0413094C9050D9561BH" TargetMode="External"/><Relationship Id="rId36" Type="http://schemas.openxmlformats.org/officeDocument/2006/relationships/hyperlink" Target="consultantplus://offline/ref=3A9698E32EF77EBCFFFAE4EE08BA7BEF6FF163D4B45E0413094C9050D96B489E833BB1DB2136D4685A16H" TargetMode="External"/><Relationship Id="rId10" Type="http://schemas.openxmlformats.org/officeDocument/2006/relationships/hyperlink" Target="consultantplus://offline/ref=3A9698E32EF77EBCFFFAE4EE08BA7BEF6FF167DDB25F0413094C9050D96B489E833BB1DB2137D3605A1FH" TargetMode="External"/><Relationship Id="rId19" Type="http://schemas.openxmlformats.org/officeDocument/2006/relationships/hyperlink" Target="consultantplus://offline/ref=3A9698E32EF77EBCFFFAE4EE08BA7BEF6FF163D4B45E0413094C9050D9561BH" TargetMode="External"/><Relationship Id="rId31" Type="http://schemas.openxmlformats.org/officeDocument/2006/relationships/hyperlink" Target="consultantplus://offline/ref=3A9698E32EF77EBCFFFAE4EE08BA7BEF6FF160D3B3590413094C9050D96B489E833BB1DB2136D5605A1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9698E32EF77EBCFFFAE4EE08BA7BEF6FF163D4B45E0413094C9050D96B489E833BB1DB2136D1615A12H" TargetMode="External"/><Relationship Id="rId14" Type="http://schemas.openxmlformats.org/officeDocument/2006/relationships/hyperlink" Target="consultantplus://offline/ref=3A9698E32EF77EBCFFFAE4EE08BA7BEF6FF163D4B45E0413094C9050D96B489E833BB1DB2137D2605A10H" TargetMode="External"/><Relationship Id="rId22" Type="http://schemas.openxmlformats.org/officeDocument/2006/relationships/image" Target="media/image4.wmf"/><Relationship Id="rId27" Type="http://schemas.openxmlformats.org/officeDocument/2006/relationships/hyperlink" Target="consultantplus://offline/ref=3A9698E32EF77EBCFFFAE4EE08BA7BEF6FF163D4B45E0413094C9050D96B489E833BB1DB2137D2605A1EH" TargetMode="External"/><Relationship Id="rId30" Type="http://schemas.openxmlformats.org/officeDocument/2006/relationships/hyperlink" Target="consultantplus://offline/ref=3A9698E32EF77EBCFFFAE4EE08BA7BEF6FF160DCB2590413094C9050D96B489E833BB1DB2136D5645A12H" TargetMode="External"/><Relationship Id="rId35" Type="http://schemas.openxmlformats.org/officeDocument/2006/relationships/hyperlink" Target="consultantplus://offline/ref=3A9698E32EF77EBCFFFAE4EE08BA7BEF6FF160D3B4500413094C9050D96B489E833BB1DB2136D5655A1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2014-01-29T07:53:00Z</dcterms:created>
  <dcterms:modified xsi:type="dcterms:W3CDTF">2014-01-29T07:54:00Z</dcterms:modified>
</cp:coreProperties>
</file>