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Обязан ли участник открытого конкурса на право заключения государственного контракта на выполнение строительно-монтажных работ для государственных нужд, проводимого в 2014 г. в соответствии с положениями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подтверждать свою добросовестность, в случае если он предложил цену контракта, которая на двадцать пять</w:t>
      </w:r>
      <w:proofErr w:type="gramEnd"/>
      <w:r>
        <w:rPr>
          <w:rFonts w:ascii="Calibri" w:hAnsi="Calibri" w:cs="Calibri"/>
        </w:rPr>
        <w:t xml:space="preserve"> и более процентов ниже начальной (максимальной) цены контракта, составляющей один миллион рублей? Если обязан, </w:t>
      </w:r>
      <w:proofErr w:type="gramStart"/>
      <w:r>
        <w:rPr>
          <w:rFonts w:ascii="Calibri" w:hAnsi="Calibri" w:cs="Calibri"/>
        </w:rPr>
        <w:t>то</w:t>
      </w:r>
      <w:proofErr w:type="gramEnd"/>
      <w:r>
        <w:rPr>
          <w:rFonts w:ascii="Calibri" w:hAnsi="Calibri" w:cs="Calibri"/>
        </w:rPr>
        <w:t xml:space="preserve"> как именно?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С 01.01.2014 участник открытого конкурса обязан подтверждать свою добросовестность. В соответствии с требованиями ст. 37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участник имеет право выбора из двух вариантов: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предоставление в заявке на участие в открытом конкурсе информации, подтверждающей добросовестность такого участника 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3 ст. 37</w:t>
        </w:r>
      </w:hyperlink>
      <w:r>
        <w:rPr>
          <w:rFonts w:ascii="Calibri" w:hAnsi="Calibri" w:cs="Calibri"/>
        </w:rPr>
        <w:t xml:space="preserve"> Закона N 44-ФЗ;</w:t>
      </w:r>
      <w:proofErr w:type="gramEnd"/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предоставление до заключения контакта обеспечения исполнения контракта в размере, в полтора раза превышающем размер обеспечения исполнения контракта, указанный в документации о проведении конкурса, но не менее чем в размере аванса (если контрактом предусмотрена выплата аванса).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ч. 2 ст. 37</w:t>
        </w:r>
      </w:hyperlink>
      <w:r>
        <w:rPr>
          <w:rFonts w:ascii="Calibri" w:hAnsi="Calibri" w:cs="Calibri"/>
        </w:rPr>
        <w:t xml:space="preserve"> Закона N 44-ФЗ,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указанном в </w:t>
      </w:r>
      <w:hyperlink r:id="rId8" w:history="1">
        <w:r>
          <w:rPr>
            <w:rFonts w:ascii="Calibri" w:hAnsi="Calibri" w:cs="Calibri"/>
            <w:color w:val="0000FF"/>
          </w:rPr>
          <w:t>ч. 1 ст. 37</w:t>
        </w:r>
      </w:hyperlink>
      <w:r>
        <w:rPr>
          <w:rFonts w:ascii="Calibri" w:hAnsi="Calibri" w:cs="Calibri"/>
        </w:rPr>
        <w:t xml:space="preserve"> Закона N 44-ФЗ, или информации, подтверждающей добросовестность такого участника на дату подачи заявки 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3 ст. 37</w:t>
        </w:r>
      </w:hyperlink>
      <w:r>
        <w:rPr>
          <w:rFonts w:ascii="Calibri" w:hAnsi="Calibri" w:cs="Calibri"/>
        </w:rPr>
        <w:t xml:space="preserve"> Закона N 44-ФЗ.</w:t>
      </w:r>
      <w:proofErr w:type="gramEnd"/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ч. 1 ст. 37</w:t>
        </w:r>
      </w:hyperlink>
      <w:r>
        <w:rPr>
          <w:rFonts w:ascii="Calibri" w:hAnsi="Calibri" w:cs="Calibri"/>
        </w:rPr>
        <w:t xml:space="preserve"> Закона N 44-ФЗ размер обеспечения исполнения контракта должен превышать в полтора раза размер обеспечения исполнения контракта, указанный в документации о проведении конкурса, но не менее чем в размере аванса (если контрактом предусмотрена выплата аванса).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 </w:t>
      </w:r>
      <w:hyperlink r:id="rId11" w:history="1">
        <w:r>
          <w:rPr>
            <w:rFonts w:ascii="Calibri" w:hAnsi="Calibri" w:cs="Calibri"/>
            <w:color w:val="0000FF"/>
          </w:rPr>
          <w:t>ч. 3 ст. 37</w:t>
        </w:r>
      </w:hyperlink>
      <w:r>
        <w:rPr>
          <w:rFonts w:ascii="Calibri" w:hAnsi="Calibri" w:cs="Calibri"/>
        </w:rPr>
        <w:t xml:space="preserve"> Закона N 44-ФЗ следует, что к информации, подтверждающей добросовестность участника закупки, относится информация, содержащаяся в реестре контрактов и подтверждающая исполнение таким участником в течение не менее чем одного года до даты подачи заявки на участие в конкурсе или аукционе трех контрактов (при этом все контракты должны быть исполнены без применения к такому участнику неустоек (штрафов</w:t>
      </w:r>
      <w:proofErr w:type="gramEnd"/>
      <w:r>
        <w:rPr>
          <w:rFonts w:ascii="Calibri" w:hAnsi="Calibri" w:cs="Calibri"/>
        </w:rPr>
        <w:t xml:space="preserve">, пеней) либо четырех и более контрактов (при этом не менее чем семьдесят пять процентов контрактов должно быть исполнено без применения к такому участнику неустоек (штрафов, пеней). В этих случаях цена одного из контрактов должна составлять не менее чем двадцать процентов цены, по которой участником закупки предложено заключить контракт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ч. 2 ст. 37</w:t>
        </w:r>
      </w:hyperlink>
      <w:r>
        <w:rPr>
          <w:rFonts w:ascii="Calibri" w:hAnsi="Calibri" w:cs="Calibri"/>
        </w:rPr>
        <w:t xml:space="preserve"> Закона N 44-ФЗ.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3" w:history="1">
        <w:r>
          <w:rPr>
            <w:rFonts w:ascii="Calibri" w:hAnsi="Calibri" w:cs="Calibri"/>
            <w:color w:val="0000FF"/>
          </w:rPr>
          <w:t>п. 4 ч. 2 ст. 51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ч. 4 ст. 37</w:t>
        </w:r>
      </w:hyperlink>
      <w:r>
        <w:rPr>
          <w:rFonts w:ascii="Calibri" w:hAnsi="Calibri" w:cs="Calibri"/>
        </w:rPr>
        <w:t xml:space="preserve"> Закона N 44-ФЗ документы, подтверждающие добросовестность участника открытого конкурса, представляются в составе заявки на участие в открытом конкурсе.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5" w:history="1">
        <w:r>
          <w:rPr>
            <w:rFonts w:ascii="Calibri" w:hAnsi="Calibri" w:cs="Calibri"/>
            <w:color w:val="0000FF"/>
          </w:rPr>
          <w:t>ч. 4 ст. 37</w:t>
        </w:r>
      </w:hyperlink>
      <w:r>
        <w:rPr>
          <w:rFonts w:ascii="Calibri" w:hAnsi="Calibri" w:cs="Calibri"/>
        </w:rPr>
        <w:t xml:space="preserve"> Закона N 44-ФЗ, если участником закупки в случае, предусмотренном </w:t>
      </w:r>
      <w:hyperlink r:id="rId16" w:history="1">
        <w:r>
          <w:rPr>
            <w:rFonts w:ascii="Calibri" w:hAnsi="Calibri" w:cs="Calibri"/>
            <w:color w:val="0000FF"/>
          </w:rPr>
          <w:t>ч. 2 рассматриваемой статьи</w:t>
        </w:r>
      </w:hyperlink>
      <w:r>
        <w:rPr>
          <w:rFonts w:ascii="Calibri" w:hAnsi="Calibri" w:cs="Calibri"/>
        </w:rPr>
        <w:t xml:space="preserve">, в составе заявки на участие в конкурсе не предоставлена информация, подтверждающая его добросовестность в соответствии с </w:t>
      </w:r>
      <w:hyperlink r:id="rId17" w:history="1">
        <w:r>
          <w:rPr>
            <w:rFonts w:ascii="Calibri" w:hAnsi="Calibri" w:cs="Calibri"/>
            <w:color w:val="0000FF"/>
          </w:rPr>
          <w:t>ч. 3 ст. 37</w:t>
        </w:r>
      </w:hyperlink>
      <w:r>
        <w:rPr>
          <w:rFonts w:ascii="Calibri" w:hAnsi="Calibri" w:cs="Calibri"/>
        </w:rPr>
        <w:t xml:space="preserve"> Закона N 44-ФЗ, контракт с данным участником заключается после предоставления им обеспечения исполнения контракта в размере, в полтора раза превышающем размер обеспечения</w:t>
      </w:r>
      <w:proofErr w:type="gramEnd"/>
      <w:r>
        <w:rPr>
          <w:rFonts w:ascii="Calibri" w:hAnsi="Calibri" w:cs="Calibri"/>
        </w:rPr>
        <w:t xml:space="preserve"> исполнения контракта, </w:t>
      </w:r>
      <w:proofErr w:type="gramStart"/>
      <w:r>
        <w:rPr>
          <w:rFonts w:ascii="Calibri" w:hAnsi="Calibri" w:cs="Calibri"/>
        </w:rPr>
        <w:t>указанный</w:t>
      </w:r>
      <w:proofErr w:type="gramEnd"/>
      <w:r>
        <w:rPr>
          <w:rFonts w:ascii="Calibri" w:hAnsi="Calibri" w:cs="Calibri"/>
        </w:rPr>
        <w:t xml:space="preserve"> в документации о проведении конкурса, но не менее чем в размере аванса (если контрактом предусмотрена выплата аванса).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8" w:history="1">
        <w:r>
          <w:rPr>
            <w:rFonts w:ascii="Calibri" w:hAnsi="Calibri" w:cs="Calibri"/>
            <w:color w:val="0000FF"/>
          </w:rPr>
          <w:t>ч. 6 ст. 37</w:t>
        </w:r>
      </w:hyperlink>
      <w:r>
        <w:rPr>
          <w:rFonts w:ascii="Calibri" w:hAnsi="Calibri" w:cs="Calibri"/>
        </w:rPr>
        <w:t xml:space="preserve"> Закона N 44-ФЗ обеспечение, указанное в </w:t>
      </w:r>
      <w:hyperlink r:id="rId19" w:history="1">
        <w:r>
          <w:rPr>
            <w:rFonts w:ascii="Calibri" w:hAnsi="Calibri" w:cs="Calibri"/>
            <w:color w:val="0000FF"/>
          </w:rPr>
          <w:t>ч. 1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2 рассматриваемой статьи</w:t>
        </w:r>
      </w:hyperlink>
      <w:r>
        <w:rPr>
          <w:rFonts w:ascii="Calibri" w:hAnsi="Calibri" w:cs="Calibri"/>
        </w:rPr>
        <w:t xml:space="preserve">, предоставляется участником закупки, с которым заключается контракт, до его заключения. </w:t>
      </w:r>
      <w:r>
        <w:rPr>
          <w:rFonts w:ascii="Calibri" w:hAnsi="Calibri" w:cs="Calibri"/>
        </w:rPr>
        <w:lastRenderedPageBreak/>
        <w:t>Участник закупки, не выполнивший данное требование, признается уклонившимся от заключения контракта.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Частью 1 ст. 112</w:t>
        </w:r>
      </w:hyperlink>
      <w:r>
        <w:rPr>
          <w:rFonts w:ascii="Calibri" w:hAnsi="Calibri" w:cs="Calibri"/>
        </w:rPr>
        <w:t xml:space="preserve"> Закона N 44-ФЗ предусмотрено, что указанный Закон применяется к отношениям, связанным с осуществлением закупок товаров, работ, услуг для обеспечения государственных или муниципальных нужд,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>
        <w:rPr>
          <w:rFonts w:ascii="Calibri" w:hAnsi="Calibri" w:cs="Calibri"/>
        </w:rPr>
        <w:t>участие</w:t>
      </w:r>
      <w:proofErr w:type="gramEnd"/>
      <w:r>
        <w:rPr>
          <w:rFonts w:ascii="Calibri" w:hAnsi="Calibri" w:cs="Calibri"/>
        </w:rPr>
        <w:t xml:space="preserve"> в которых направлены после дня вступления в силу Закона N 44-ФЗ (то есть после 01.01.2014). К отношениям, возникшим до дня вступления в силу указанного Закона, он применяется в части прав и обязанностей, которые возникнут после дня его вступления в силу, если иное не предусмотрено настоящей статьей.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рассматриваемом случае участник открытого конкурса обязан подтверждать свою добросовестность, а в соответствии с требованиями </w:t>
      </w:r>
      <w:hyperlink r:id="rId22" w:history="1">
        <w:r>
          <w:rPr>
            <w:rFonts w:ascii="Calibri" w:hAnsi="Calibri" w:cs="Calibri"/>
            <w:color w:val="0000FF"/>
          </w:rPr>
          <w:t>ст. 37</w:t>
        </w:r>
      </w:hyperlink>
      <w:r>
        <w:rPr>
          <w:rFonts w:ascii="Calibri" w:hAnsi="Calibri" w:cs="Calibri"/>
        </w:rPr>
        <w:t xml:space="preserve"> Закона N 44-ФЗ участник имеет право выбора из двух вариантов: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подтверждение добросовестности участника закупки путем предоставления в заявке на участие в открытом конкурсе информации, содержащейся в реестре контрактов и подтверждающей исполнение таким участником в течение не менее чем одного года до даты подачи заявки на участие в конкурсе или аукционе трех контрактов (при этом все контракты должны быть исполнены без применения к такому участнику неустоек (штрафов, пеней) либо четырех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более контрактов (при этом не менее чем семьдесят пять процентов контрактов должно быть исполнено без применения к такому участнику неустоек (штрафов, пеней).</w:t>
      </w:r>
      <w:proofErr w:type="gramEnd"/>
      <w:r>
        <w:rPr>
          <w:rFonts w:ascii="Calibri" w:hAnsi="Calibri" w:cs="Calibri"/>
        </w:rPr>
        <w:t xml:space="preserve"> При этом цена одного из контрактов должна составлять не менее чем двадцать процентов цены, по которой участником закупки предложено заключить контракт;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предоставление до заключения контакта обеспечения исполнения контракта в размере, в полтора раза превышающем размер обеспечения исполнения контракта, указанный в документации о проведении конкурса, но не менее чем в размере аванса (если контрактом предусмотрена выплата аванса).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15.05.2013</w:t>
      </w: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368A" w:rsidRDefault="00463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368A" w:rsidRDefault="004636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66246" w:rsidRDefault="00766246">
      <w:bookmarkStart w:id="0" w:name="_GoBack"/>
      <w:bookmarkEnd w:id="0"/>
    </w:p>
    <w:sectPr w:rsidR="00766246" w:rsidSect="008E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A"/>
    <w:rsid w:val="0046368A"/>
    <w:rsid w:val="007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BB9BA65FBFB5F1750BC7DCA4D1BE9B91F98DE551885327DC0F6215434B0B7E8551142EBE5CBC02X654E" TargetMode="External"/><Relationship Id="rId13" Type="http://schemas.openxmlformats.org/officeDocument/2006/relationships/hyperlink" Target="consultantplus://offline/ref=32BB9BA65FBFB5F1750BC7DCA4D1BE9B91F98DE551885327DC0F6215434B0B7E8551142EBE5CBE02X655E" TargetMode="External"/><Relationship Id="rId18" Type="http://schemas.openxmlformats.org/officeDocument/2006/relationships/hyperlink" Target="consultantplus://offline/ref=32BB9BA65FBFB5F1750BC7DCA4D1BE9B91F98DE551885327DC0F6215434B0B7E8551142EBE5CBC05X65F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BB9BA65FBFB5F1750BC7DCA4D1BE9B91F98DE551885327DC0F6215434B0B7E8551142EBE5DBE00X65DE" TargetMode="External"/><Relationship Id="rId7" Type="http://schemas.openxmlformats.org/officeDocument/2006/relationships/hyperlink" Target="consultantplus://offline/ref=32BB9BA65FBFB5F1750BC7DCA4D1BE9B91F98DE551885327DC0F6215434B0B7E8551142EBE5CBC02X655E" TargetMode="External"/><Relationship Id="rId12" Type="http://schemas.openxmlformats.org/officeDocument/2006/relationships/hyperlink" Target="consultantplus://offline/ref=32BB9BA65FBFB5F1750BC7DCA4D1BE9B91F98DE551885327DC0F6215434B0B7E8551142EBE5CBC02X655E" TargetMode="External"/><Relationship Id="rId17" Type="http://schemas.openxmlformats.org/officeDocument/2006/relationships/hyperlink" Target="consultantplus://offline/ref=32BB9BA65FBFB5F1750BC7DCA4D1BE9B91F98DE551885327DC0F6215434B0B7E8551142EBE5CBC05X65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BB9BA65FBFB5F1750BC7DCA4D1BE9B91F98DE551885327DC0F6215434B0B7E8551142EBE5CBC02X655E" TargetMode="External"/><Relationship Id="rId20" Type="http://schemas.openxmlformats.org/officeDocument/2006/relationships/hyperlink" Target="consultantplus://offline/ref=32BB9BA65FBFB5F1750BC7DCA4D1BE9B91F98DE551885327DC0F6215434B0B7E8551142EBE5CBC02X65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BB9BA65FBFB5F1750BC7DCA4D1BE9B91F98DE551885327DC0F6215434B0B7E8551142EBE5CBC05X65CE" TargetMode="External"/><Relationship Id="rId11" Type="http://schemas.openxmlformats.org/officeDocument/2006/relationships/hyperlink" Target="consultantplus://offline/ref=32BB9BA65FBFB5F1750BC7DCA4D1BE9B91F98DE551885327DC0F6215434B0B7E8551142EBE5CBC05X65C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32BB9BA65FBFB5F1750BC7DCA4D1BE9B91F98DE551885327DC0F621543X45BE" TargetMode="External"/><Relationship Id="rId15" Type="http://schemas.openxmlformats.org/officeDocument/2006/relationships/hyperlink" Target="consultantplus://offline/ref=32BB9BA65FBFB5F1750BC7DCA4D1BE9B91F98DE551885327DC0F6215434B0B7E8551142EBE5CBC05X65D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2BB9BA65FBFB5F1750BC7DCA4D1BE9B91F98DE551885327DC0F6215434B0B7E8551142EBE5CBC02X654E" TargetMode="External"/><Relationship Id="rId19" Type="http://schemas.openxmlformats.org/officeDocument/2006/relationships/hyperlink" Target="consultantplus://offline/ref=32BB9BA65FBFB5F1750BC7DCA4D1BE9B91F98DE551885327DC0F6215434B0B7E8551142EBE5CBC02X65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BB9BA65FBFB5F1750BC7DCA4D1BE9B91F98DE551885327DC0F6215434B0B7E8551142EBE5CBC05X65CE" TargetMode="External"/><Relationship Id="rId14" Type="http://schemas.openxmlformats.org/officeDocument/2006/relationships/hyperlink" Target="consultantplus://offline/ref=32BB9BA65FBFB5F1750BC7DCA4D1BE9B91F98DE551885327DC0F6215434B0B7E8551142EBE5CBC05X65DE" TargetMode="External"/><Relationship Id="rId22" Type="http://schemas.openxmlformats.org/officeDocument/2006/relationships/hyperlink" Target="consultantplus://offline/ref=32BB9BA65FBFB5F1750BC7DCA4D1BE9B91F98DE551885327DC0F6215434B0B7E8551142EBE5CBC02X65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2013-12-05T04:57:00Z</dcterms:created>
  <dcterms:modified xsi:type="dcterms:W3CDTF">2013-12-05T05:01:00Z</dcterms:modified>
</cp:coreProperties>
</file>