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Государственный заказчик во II квартале 2013 г. разместил два заказа на оказание услуг по уборке помещений административного здания у единственного исполнителя на общую сумму 198 тыс. руб. за счет разных источников финансирования, в том числе за счет средств федерального бюджета на сумму 99 тыс. руб. и на такую же сумму за счет средств от приносящей доход деятельности.</w:t>
      </w:r>
      <w:proofErr w:type="gramEnd"/>
      <w:r>
        <w:rPr>
          <w:rFonts w:ascii="Calibri" w:hAnsi="Calibri" w:cs="Calibri"/>
        </w:rPr>
        <w:t xml:space="preserve"> Правомерны ли действия государственного заказчика? Изменится ли ситуация с 01.01.2014?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Действия государственного заказчика по размещению во II квартале 2013 г. двух заказов на оказание услуг по уборке помещений административного здания у единственного исполнителя на общую сумму 198 тыс. руб. за счет разных источников финансирования неправомерны.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01.01.2014 государственный заказчик вправе заключить несколько контрактов </w:t>
      </w:r>
      <w:proofErr w:type="gramStart"/>
      <w:r>
        <w:rPr>
          <w:rFonts w:ascii="Calibri" w:hAnsi="Calibri" w:cs="Calibri"/>
        </w:rPr>
        <w:t>в квартал на оказание услуг по уборке помещений административного здания у единственного поставщика на сумму</w:t>
      </w:r>
      <w:proofErr w:type="gramEnd"/>
      <w:r>
        <w:rPr>
          <w:rFonts w:ascii="Calibri" w:hAnsi="Calibri" w:cs="Calibri"/>
        </w:rPr>
        <w:t>, не превышающую 100 тыс. руб. по одному контракту.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ч. 1 ст. 4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государственными заказчиками, муниципальными заказчиками выступают соответственно государственные органы (в том числе органы государственной власти), органы управления государственными внебюджетными фондами, органы местного самоуправления, казенные учреждения и иные получатели средств федерального</w:t>
      </w:r>
      <w:proofErr w:type="gramEnd"/>
      <w:r>
        <w:rPr>
          <w:rFonts w:ascii="Calibri" w:hAnsi="Calibri" w:cs="Calibri"/>
        </w:rPr>
        <w:t xml:space="preserve"> бюджета, бюджетов субъектов РФ или местных бюджетов при размещении заказов на поставки товаров, выполнение работ, оказание услуг за счет бюджетных средств и внебюджетных источников финансирования.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14 ч. 2 ст. 55</w:t>
        </w:r>
      </w:hyperlink>
      <w:r>
        <w:rPr>
          <w:rFonts w:ascii="Calibri" w:hAnsi="Calibri" w:cs="Calibri"/>
        </w:rPr>
        <w:t xml:space="preserve"> Закона N 94-ФЗ размещение заказа у единственного поставщика (исполнителя, подрядчика) допускается в случае, если осуществляются поставки товаров, выполнение работ, оказание услуг для нужд заказчиков на сумму, не превышающую установленного Центральным банком РФ предельного размера расчетов наличными деньгами в РФ между юридическими лицами по одной сделке.</w:t>
      </w:r>
      <w:proofErr w:type="gramEnd"/>
      <w:r>
        <w:rPr>
          <w:rFonts w:ascii="Calibri" w:hAnsi="Calibri" w:cs="Calibri"/>
        </w:rPr>
        <w:t xml:space="preserve"> При этом законодатель разрешает размещать заказы на поставки одноименных товаров, выполнение одноименных работ, оказание одноименных услуг в течение квартала на основании </w:t>
      </w:r>
      <w:hyperlink r:id="rId7" w:history="1">
        <w:r>
          <w:rPr>
            <w:rFonts w:ascii="Calibri" w:hAnsi="Calibri" w:cs="Calibri"/>
            <w:color w:val="0000FF"/>
          </w:rPr>
          <w:t>п. 14 ч. 2 ст. 55</w:t>
        </w:r>
      </w:hyperlink>
      <w:r>
        <w:rPr>
          <w:rFonts w:ascii="Calibri" w:hAnsi="Calibri" w:cs="Calibri"/>
        </w:rPr>
        <w:t xml:space="preserve"> Закона N 94-ФЗ на сумму, не превышающую предельного размера расчетов наличными деньгами.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Одноименность товаров, работ и услуг определяется в соответствии с </w:t>
      </w:r>
      <w:hyperlink r:id="rId8" w:history="1">
        <w:r>
          <w:rPr>
            <w:rFonts w:ascii="Calibri" w:hAnsi="Calibri" w:cs="Calibri"/>
            <w:color w:val="0000FF"/>
          </w:rPr>
          <w:t>Номенклатурой</w:t>
        </w:r>
      </w:hyperlink>
      <w:r>
        <w:rPr>
          <w:rFonts w:ascii="Calibri" w:hAnsi="Calibri" w:cs="Calibri"/>
        </w:rPr>
        <w:t xml:space="preserve"> товаров, работ, услуг для нужд заказчиков, утвержденной Приказом Минэкономразвития России от 07.06.2011 N 273 (</w:t>
      </w:r>
      <w:hyperlink r:id="rId9" w:history="1">
        <w:r>
          <w:rPr>
            <w:rFonts w:ascii="Calibri" w:hAnsi="Calibri" w:cs="Calibri"/>
            <w:color w:val="0000FF"/>
          </w:rPr>
          <w:t>ч. 6.1 ст. 10</w:t>
        </w:r>
      </w:hyperlink>
      <w:r>
        <w:rPr>
          <w:rFonts w:ascii="Calibri" w:hAnsi="Calibri" w:cs="Calibri"/>
        </w:rPr>
        <w:t xml:space="preserve"> Закона N 94-ФЗ).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Указания Банка России от 20.06.2007 N 1843-У "О предельном размере расчетов наличными деньгами и расходовании наличных денег, поступивших в кассу юридического лица или кассу индивидуального предпринимателя" предельный размер расчетов наличными деньгами составляет 100 тыс. руб.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вопросе действия государственного заказчика неправомерны, так как при размещении заказов не имеет значения источник, за счет которого подлежат оплате заключаемые контракты: за счет средств, полученных из бюджета, или за счет средств от приносящей доход деятельности. С 01.01.2014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в связи с принятием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3" w:history="1">
        <w:r>
          <w:rPr>
            <w:rFonts w:ascii="Calibri" w:hAnsi="Calibri" w:cs="Calibri"/>
            <w:color w:val="0000FF"/>
          </w:rPr>
          <w:t>п. 4 ч. 1 ст. 93</w:t>
        </w:r>
      </w:hyperlink>
      <w:r>
        <w:rPr>
          <w:rFonts w:ascii="Calibri" w:hAnsi="Calibri" w:cs="Calibri"/>
        </w:rPr>
        <w:t xml:space="preserve"> Закона N 44-ФЗ заказчики могут осуществлять закупки у единственного поставщика (подрядчика, исполнителя), если сумма контракта не превышает 100 тыс. руб. и одновременно соблюдены следующие требования: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совокупный годовой объем закупок, который заказчик вправе осуществить по данному основанию, не превышает пяти процентов размера средств, предусмотренных на осуществление всех закупок заказчика в соответствии с планом-графиком;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совокупный годовой объем закупок, который заказчик вправе осуществить по данному </w:t>
      </w:r>
      <w:r>
        <w:rPr>
          <w:rFonts w:ascii="Calibri" w:hAnsi="Calibri" w:cs="Calibri"/>
        </w:rPr>
        <w:lastRenderedPageBreak/>
        <w:t xml:space="preserve">основанию, составляет не более чем 50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 в год.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не имеет значения, за счет каких источников финансирования будет размещаться заказ, и нет необходимости соблюдать какие-либо ограничения в отношении одноименных товаров, одноименных услуг и одноименных работ, так как понятие одноименности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государственный заказчик с 01.01.2014 вправе заключить несколько контрактов в квартал на оказание услуг по уборке помещений административного здания у единственного поставщика на сумму, не превышающую 100 тыс. руб. по одному контракту.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А.В.Богданова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Территориальное управление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финансово-бюджетного надзора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г. Санкт-Петербурге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22.10.2013</w:t>
      </w: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6B79" w:rsidRDefault="00546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6B79" w:rsidRDefault="00546B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624EC" w:rsidRDefault="00F624EC">
      <w:bookmarkStart w:id="0" w:name="_GoBack"/>
      <w:bookmarkEnd w:id="0"/>
    </w:p>
    <w:sectPr w:rsidR="00F624EC" w:rsidSect="004C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79"/>
    <w:rsid w:val="00546B79"/>
    <w:rsid w:val="00F6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EC70593E736628774829D5ED6CA62F52396C7EBD0726BFE0987CD3F8C46E4D97C5FAE79EC50985CMDG" TargetMode="External"/><Relationship Id="rId13" Type="http://schemas.openxmlformats.org/officeDocument/2006/relationships/hyperlink" Target="consultantplus://offline/ref=141EC70593E736628774829D5ED6CA62F52399C7EED5726BFE0987CD3F8C46E4D97C5FAE79ED529F5CM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1EC70593E736628774829D5ED6CA62F52399CAE4D7726BFE0987CD3F8C46E4D97C5FAE79EA55M4G" TargetMode="External"/><Relationship Id="rId12" Type="http://schemas.openxmlformats.org/officeDocument/2006/relationships/hyperlink" Target="consultantplus://offline/ref=141EC70593E736628774829D5ED6CA62F52399C7EED5726BFE0987CD3F8C46E4D97C5FAE79ED569D5CM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1EC70593E736628774829D5ED6CA62F52399CAE4D7726BFE0987CD3F8C46E4D97C5FAE79EA55M4G" TargetMode="External"/><Relationship Id="rId11" Type="http://schemas.openxmlformats.org/officeDocument/2006/relationships/hyperlink" Target="consultantplus://offline/ref=141EC70593E736628774829D5ED6CA62F52399CAE4D7726BFE0987CD3F58MCG" TargetMode="External"/><Relationship Id="rId5" Type="http://schemas.openxmlformats.org/officeDocument/2006/relationships/hyperlink" Target="consultantplus://offline/ref=141EC70593E736628774829D5ED6CA62F52399CAE4D7726BFE0987CD3F8C46E4D97C5FA77A5EM8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41EC70593E736628774829D5ED6CA62F32090C7E4DC2F61F6508BCF388319F3DE3553AF79EC5059M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1EC70593E736628774829D5ED6CA62F52399CAE4D7726BFE0987CD3F8C46E4D97C5FA77E5EMCG" TargetMode="External"/><Relationship Id="rId14" Type="http://schemas.openxmlformats.org/officeDocument/2006/relationships/hyperlink" Target="consultantplus://offline/ref=141EC70593E736628774829D5ED6CA62F52399C7EED5726BFE0987CD3F58M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2014-01-21T06:12:00Z</dcterms:created>
  <dcterms:modified xsi:type="dcterms:W3CDTF">2014-01-21T06:13:00Z</dcterms:modified>
</cp:coreProperties>
</file>