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Вправе ли с 01.01.2014 государственный заказчик заключить контракт с организацией - победителем открытого конкурса, которая представит заказчику в обеспечение исполнения условий контракта банковскую гарантию, не содержащую указания на срок ее действия, а содержащую формулировку "до полного выполнения обязатель</w:t>
      </w:r>
      <w:proofErr w:type="gramStart"/>
      <w:r>
        <w:rPr>
          <w:rFonts w:ascii="Calibri" w:hAnsi="Calibri" w:cs="Calibri"/>
        </w:rPr>
        <w:t>ств пр</w:t>
      </w:r>
      <w:proofErr w:type="gramEnd"/>
      <w:r>
        <w:rPr>
          <w:rFonts w:ascii="Calibri" w:hAnsi="Calibri" w:cs="Calibri"/>
        </w:rPr>
        <w:t>инципала перед бенефициаром"?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Срок действия банковской гарантии, представленной в обеспечение контракта, должен превышать срок действия контракта не менее чем на один месяц. Заказчик не вправе заключить контракт с победителем конкурса, представившим банковскую гарантию, которая, в нарушение положений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44-ФЗ), не содержит указания на срок ее действия. В этом случае победитель признается уклонившимся от заключения контракта.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ч. 1 ст. 45</w:t>
        </w:r>
      </w:hyperlink>
      <w:r>
        <w:rPr>
          <w:rFonts w:ascii="Calibri" w:hAnsi="Calibri" w:cs="Calibri"/>
        </w:rPr>
        <w:t xml:space="preserve"> Закона N 44-ФЗ заказчики в качестве обеспечения заявок и исполнения контрактов принимают банковские гарантии, выданные банками, включенными в предусмотренный </w:t>
      </w:r>
      <w:hyperlink r:id="rId7" w:history="1">
        <w:r>
          <w:rPr>
            <w:rFonts w:ascii="Calibri" w:hAnsi="Calibri" w:cs="Calibri"/>
            <w:color w:val="0000FF"/>
          </w:rPr>
          <w:t>ст. 176.1</w:t>
        </w:r>
      </w:hyperlink>
      <w:r>
        <w:rPr>
          <w:rFonts w:ascii="Calibri" w:hAnsi="Calibri" w:cs="Calibri"/>
        </w:rPr>
        <w:t xml:space="preserve"> Налогового кодекса РФ перечень банков, отвечающих установленным требованиям для принятия банковских гарантий в целях налогообложения.</w:t>
      </w:r>
      <w:proofErr w:type="gramEnd"/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п. 5 ч. 2 ст. 45</w:t>
        </w:r>
      </w:hyperlink>
      <w:r>
        <w:rPr>
          <w:rFonts w:ascii="Calibri" w:hAnsi="Calibri" w:cs="Calibri"/>
        </w:rPr>
        <w:t xml:space="preserve"> Закона N 44-ФЗ банковская гарантия должна содержать срок действия банковской гарантии с учетом требований </w:t>
      </w:r>
      <w:hyperlink r:id="rId9" w:history="1">
        <w:r>
          <w:rPr>
            <w:rFonts w:ascii="Calibri" w:hAnsi="Calibri" w:cs="Calibri"/>
            <w:color w:val="0000FF"/>
          </w:rPr>
          <w:t>ст. ст. 44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96</w:t>
        </w:r>
      </w:hyperlink>
      <w:r>
        <w:rPr>
          <w:rFonts w:ascii="Calibri" w:hAnsi="Calibri" w:cs="Calibri"/>
        </w:rPr>
        <w:t xml:space="preserve"> Закона N 44-ФЗ. В соответствии с </w:t>
      </w:r>
      <w:hyperlink r:id="rId11" w:history="1">
        <w:r>
          <w:rPr>
            <w:rFonts w:ascii="Calibri" w:hAnsi="Calibri" w:cs="Calibri"/>
            <w:color w:val="0000FF"/>
          </w:rPr>
          <w:t>ч. 3 ст. 96</w:t>
        </w:r>
      </w:hyperlink>
      <w:r>
        <w:rPr>
          <w:rFonts w:ascii="Calibri" w:hAnsi="Calibri" w:cs="Calibri"/>
        </w:rPr>
        <w:t xml:space="preserve"> Закона N 44-ФЗ исполнение контракта может обеспечиваться представлением банковской гарантии, выданной банком и соответствующей требованиям </w:t>
      </w:r>
      <w:hyperlink r:id="rId12" w:history="1">
        <w:r>
          <w:rPr>
            <w:rFonts w:ascii="Calibri" w:hAnsi="Calibri" w:cs="Calibri"/>
            <w:color w:val="0000FF"/>
          </w:rPr>
          <w:t>ст. 45</w:t>
        </w:r>
      </w:hyperlink>
      <w:r>
        <w:rPr>
          <w:rFonts w:ascii="Calibri" w:hAnsi="Calibri" w:cs="Calibri"/>
        </w:rPr>
        <w:t xml:space="preserve"> Закона N 44-ФЗ. Срок действия банковской гарантии должен превышать срок действия контракта не менее чем на один месяц.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3" w:history="1">
        <w:r>
          <w:rPr>
            <w:rFonts w:ascii="Calibri" w:hAnsi="Calibri" w:cs="Calibri"/>
            <w:color w:val="0000FF"/>
          </w:rPr>
          <w:t>ч. 4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5 ст. 96</w:t>
        </w:r>
      </w:hyperlink>
      <w:r>
        <w:rPr>
          <w:rFonts w:ascii="Calibri" w:hAnsi="Calibri" w:cs="Calibri"/>
        </w:rPr>
        <w:t xml:space="preserve"> Закона N 44-ФЗ контракт заключается после предоставления участником закупки, с которым заключается контракт, обеспечения исполнения контракта. В случае непредоставления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Частью 3 ст. 54</w:t>
        </w:r>
      </w:hyperlink>
      <w:r>
        <w:rPr>
          <w:rFonts w:ascii="Calibri" w:hAnsi="Calibri" w:cs="Calibri"/>
        </w:rPr>
        <w:t xml:space="preserve"> Закона N 44-ФЗ также предусмотрено, что в течение десяти дней </w:t>
      </w:r>
      <w:proofErr w:type="gramStart"/>
      <w:r>
        <w:rPr>
          <w:rFonts w:ascii="Calibri" w:hAnsi="Calibri" w:cs="Calibri"/>
        </w:rPr>
        <w:t>с даты размещения</w:t>
      </w:r>
      <w:proofErr w:type="gramEnd"/>
      <w:r>
        <w:rPr>
          <w:rFonts w:ascii="Calibri" w:hAnsi="Calibri" w:cs="Calibri"/>
        </w:rPr>
        <w:t xml:space="preserve"> в единой информационной системе протокола рассмотрения и оценки заявок на участие в конкурсе победитель конкурса обязан подписать контракт и представить все экземпляры контракта заказчику. При этом победитель конкурса одновременно с контрактом обязан представить заказчику документы, подтверждающие предоставление обеспечения исполнения контракта в размере, который предусмотрен конкурсной документацией или </w:t>
      </w:r>
      <w:hyperlink r:id="rId16" w:history="1">
        <w:r>
          <w:rPr>
            <w:rFonts w:ascii="Calibri" w:hAnsi="Calibri" w:cs="Calibri"/>
            <w:color w:val="0000FF"/>
          </w:rPr>
          <w:t>ч. 1 ст. 37</w:t>
        </w:r>
      </w:hyperlink>
      <w:r>
        <w:rPr>
          <w:rFonts w:ascii="Calibri" w:hAnsi="Calibri" w:cs="Calibri"/>
        </w:rPr>
        <w:t xml:space="preserve"> Закона N 44-ФЗ. В случае если победителем конкурса не исполнены требования </w:t>
      </w:r>
      <w:hyperlink r:id="rId17" w:history="1">
        <w:r>
          <w:rPr>
            <w:rFonts w:ascii="Calibri" w:hAnsi="Calibri" w:cs="Calibri"/>
            <w:color w:val="0000FF"/>
          </w:rPr>
          <w:t>ч. 3 ст. 54</w:t>
        </w:r>
      </w:hyperlink>
      <w:r>
        <w:rPr>
          <w:rFonts w:ascii="Calibri" w:hAnsi="Calibri" w:cs="Calibri"/>
        </w:rPr>
        <w:t xml:space="preserve"> рассматриваемого Закона, такой победитель признается уклонившимся от заключения контракта.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в соответствии со </w:t>
      </w:r>
      <w:hyperlink r:id="rId18" w:history="1">
        <w:r>
          <w:rPr>
            <w:rFonts w:ascii="Calibri" w:hAnsi="Calibri" w:cs="Calibri"/>
            <w:color w:val="0000FF"/>
          </w:rPr>
          <w:t>ст. 190</w:t>
        </w:r>
      </w:hyperlink>
      <w:r>
        <w:rPr>
          <w:rFonts w:ascii="Calibri" w:hAnsi="Calibri" w:cs="Calibri"/>
        </w:rPr>
        <w:t xml:space="preserve"> Гражданского кодекса РФ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арбитражной практике сложилась позиция, согласно которой из </w:t>
      </w:r>
      <w:hyperlink r:id="rId19" w:history="1">
        <w:r>
          <w:rPr>
            <w:rFonts w:ascii="Calibri" w:hAnsi="Calibri" w:cs="Calibri"/>
            <w:color w:val="0000FF"/>
          </w:rPr>
          <w:t>п. 2 ст. 374</w:t>
        </w:r>
      </w:hyperlink>
      <w:r>
        <w:rPr>
          <w:rFonts w:ascii="Calibri" w:hAnsi="Calibri" w:cs="Calibri"/>
        </w:rPr>
        <w:t xml:space="preserve"> и </w:t>
      </w:r>
      <w:hyperlink r:id="rId20" w:history="1">
        <w:r>
          <w:rPr>
            <w:rFonts w:ascii="Calibri" w:hAnsi="Calibri" w:cs="Calibri"/>
            <w:color w:val="0000FF"/>
          </w:rPr>
          <w:t>п. 1 ст. 376</w:t>
        </w:r>
      </w:hyperlink>
      <w:r>
        <w:rPr>
          <w:rFonts w:ascii="Calibri" w:hAnsi="Calibri" w:cs="Calibri"/>
        </w:rPr>
        <w:t xml:space="preserve"> ГК РФ следует, что срок, на который выдана гарантия, является существенным условием гарантийного обязательства. При его отсутствии гарантийное обязательство в силу </w:t>
      </w:r>
      <w:hyperlink r:id="rId21" w:history="1">
        <w:r>
          <w:rPr>
            <w:rFonts w:ascii="Calibri" w:hAnsi="Calibri" w:cs="Calibri"/>
            <w:color w:val="0000FF"/>
          </w:rPr>
          <w:t>ст. 432</w:t>
        </w:r>
      </w:hyperlink>
      <w:r>
        <w:rPr>
          <w:rFonts w:ascii="Calibri" w:hAnsi="Calibri" w:cs="Calibri"/>
        </w:rPr>
        <w:t xml:space="preserve"> ГК РФ следует считать невозникшим (</w:t>
      </w:r>
      <w:hyperlink r:id="rId22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Информационного письма Президиума ВАС РФ от 15.01.1998 N 27 "Обзор практики разрешения споров, связанных с применением норм Гражданского кодекса Российской Федерации о банковской гарантии").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hyperlink r:id="rId23" w:history="1">
        <w:r>
          <w:rPr>
            <w:rFonts w:ascii="Calibri" w:hAnsi="Calibri" w:cs="Calibri"/>
            <w:color w:val="0000FF"/>
          </w:rPr>
          <w:t>Определении</w:t>
        </w:r>
      </w:hyperlink>
      <w:r>
        <w:rPr>
          <w:rFonts w:ascii="Calibri" w:hAnsi="Calibri" w:cs="Calibri"/>
        </w:rPr>
        <w:t xml:space="preserve"> ВАС РФ от 02.03.2011 N ВАС-1716/11 по делу N А40-151273/09-47-1043 суд пришел к выводу, что указание на действие гарантийного обязательства до полного выполнения обязательств принципала перед бенефициаром не может быть расценено в качестве условия о сроке, на который выдана банковская гарантия, поскольку указанная формулировка не отвечает требованиям </w:t>
      </w:r>
      <w:hyperlink r:id="rId24" w:history="1">
        <w:r>
          <w:rPr>
            <w:rFonts w:ascii="Calibri" w:hAnsi="Calibri" w:cs="Calibri"/>
            <w:color w:val="0000FF"/>
          </w:rPr>
          <w:t>ст. 190</w:t>
        </w:r>
      </w:hyperlink>
      <w:r>
        <w:rPr>
          <w:rFonts w:ascii="Calibri" w:hAnsi="Calibri" w:cs="Calibri"/>
        </w:rPr>
        <w:t xml:space="preserve"> ГК РФ.</w:t>
      </w:r>
      <w:proofErr w:type="gramEnd"/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считаем, что заказчик не вправе заключить контракт с победителем </w:t>
      </w:r>
      <w:r>
        <w:rPr>
          <w:rFonts w:ascii="Calibri" w:hAnsi="Calibri" w:cs="Calibri"/>
        </w:rPr>
        <w:lastRenderedPageBreak/>
        <w:t xml:space="preserve">конкурса, представившим банковскую гарантию, которая, в нарушение положений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44-ФЗ, не содержит указания на срок ее действия. В этом случае победитель признается уклонившимся от заключения контракта.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30.12.2013</w:t>
      </w: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560AE" w:rsidRDefault="0035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560AE" w:rsidRDefault="003560A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089C" w:rsidRDefault="00F2089C">
      <w:bookmarkStart w:id="0" w:name="_GoBack"/>
      <w:bookmarkEnd w:id="0"/>
    </w:p>
    <w:sectPr w:rsidR="00F2089C" w:rsidSect="0024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AE"/>
    <w:rsid w:val="003560AE"/>
    <w:rsid w:val="00F2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64CEEFB6E5DFA3313914D370A3129FB645AB15771D088F634F6830E8A150263D8CDC690435D00q96EF" TargetMode="External"/><Relationship Id="rId13" Type="http://schemas.openxmlformats.org/officeDocument/2006/relationships/hyperlink" Target="consultantplus://offline/ref=87264CEEFB6E5DFA3313914D370A3129FB645AB15771D088F634F6830E8A150263D8CDC690435907q966F" TargetMode="External"/><Relationship Id="rId18" Type="http://schemas.openxmlformats.org/officeDocument/2006/relationships/hyperlink" Target="consultantplus://offline/ref=87264CEEFB6E5DFA3313914D370A3129FB645EB85170D088F634F6830E8A150263D8CDC690435A06q968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264CEEFB6E5DFA3313914D370A3129FB645EB85170D088F634F6830E8A150263D8CDC690405A07q967F" TargetMode="External"/><Relationship Id="rId7" Type="http://schemas.openxmlformats.org/officeDocument/2006/relationships/hyperlink" Target="consultantplus://offline/ref=87264CEEFB6E5DFA3313914D370A3129FB6459B95475D088F634F6830E8A150263D8CDCF9443q56AF" TargetMode="External"/><Relationship Id="rId12" Type="http://schemas.openxmlformats.org/officeDocument/2006/relationships/hyperlink" Target="consultantplus://offline/ref=87264CEEFB6E5DFA3313914D370A3129FB645AB15771D088F634F6830E8A150263D8CDC690425F07q967F" TargetMode="External"/><Relationship Id="rId17" Type="http://schemas.openxmlformats.org/officeDocument/2006/relationships/hyperlink" Target="consultantplus://offline/ref=87264CEEFB6E5DFA3313914D370A3129FB645AB15771D088F634F6830E8A150263D8CDC690435D07q968F" TargetMode="External"/><Relationship Id="rId25" Type="http://schemas.openxmlformats.org/officeDocument/2006/relationships/hyperlink" Target="consultantplus://offline/ref=87264CEEFB6E5DFA3313914D370A3129FB645AB15771D088F634F6830E8A150263D8CDC690435D00q96E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264CEEFB6E5DFA3313914D370A3129FB645AB15771D088F634F6830E8A150263D8CDC690425E00q966F" TargetMode="External"/><Relationship Id="rId20" Type="http://schemas.openxmlformats.org/officeDocument/2006/relationships/hyperlink" Target="consultantplus://offline/ref=87264CEEFB6E5DFA3313914D370A3129FB645EB85170D088F634F6830E8A150263D8CDC690435201q96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264CEEFB6E5DFA3313914D370A3129FB645AB15771D088F634F6830E8A150263D8CDC690425F06q96EF" TargetMode="External"/><Relationship Id="rId11" Type="http://schemas.openxmlformats.org/officeDocument/2006/relationships/hyperlink" Target="consultantplus://offline/ref=87264CEEFB6E5DFA3313914D370A3129FB645AB15771D088F634F6830E8A150263D8CDC690435907q969F" TargetMode="External"/><Relationship Id="rId24" Type="http://schemas.openxmlformats.org/officeDocument/2006/relationships/hyperlink" Target="consultantplus://offline/ref=87264CEEFB6E5DFA3313914D370A3129FB645EB85170D088F634F6830E8A150263D8CDC690435A06q96BF" TargetMode="External"/><Relationship Id="rId5" Type="http://schemas.openxmlformats.org/officeDocument/2006/relationships/hyperlink" Target="consultantplus://offline/ref=87264CEEFB6E5DFA3313914D370A3129FB645AB15771D088F634F6830E8A150263D8CDC690435D00q96EF" TargetMode="External"/><Relationship Id="rId15" Type="http://schemas.openxmlformats.org/officeDocument/2006/relationships/hyperlink" Target="consultantplus://offline/ref=87264CEEFB6E5DFA3313914D370A3129FB645AB15771D088F634F6830E8A150263D8CDC690435D07q968F" TargetMode="External"/><Relationship Id="rId23" Type="http://schemas.openxmlformats.org/officeDocument/2006/relationships/hyperlink" Target="consultantplus://offline/ref=87264CEEFB6E5DFA33139C5E220A3129FB6958B3547FD088F634F6830Eq86AF" TargetMode="External"/><Relationship Id="rId10" Type="http://schemas.openxmlformats.org/officeDocument/2006/relationships/hyperlink" Target="consultantplus://offline/ref=87264CEEFB6E5DFA3313914D370A3129FB645AB15771D088F634F6830E8A150263D8CDC690435907q96AF" TargetMode="External"/><Relationship Id="rId19" Type="http://schemas.openxmlformats.org/officeDocument/2006/relationships/hyperlink" Target="consultantplus://offline/ref=87264CEEFB6E5DFA3313914D370A3129FB645EB85170D088F634F6830E8A150263D8CDC690435202q96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64CEEFB6E5DFA3313914D370A3129FB645AB15771D088F634F6830E8A150263D8CDC690425F02q96EF" TargetMode="External"/><Relationship Id="rId14" Type="http://schemas.openxmlformats.org/officeDocument/2006/relationships/hyperlink" Target="consultantplus://offline/ref=87264CEEFB6E5DFA3313914D370A3129FB645AB15771D088F634F6830E8A150263D8CDC690435907q967F" TargetMode="External"/><Relationship Id="rId22" Type="http://schemas.openxmlformats.org/officeDocument/2006/relationships/hyperlink" Target="consultantplus://offline/ref=87264CEEFB6E5DFA3313914D370A3129FB665BB3537D8D82FE6DFA8109854A156491C1C7904258q063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2014-03-21T05:58:00Z</dcterms:created>
  <dcterms:modified xsi:type="dcterms:W3CDTF">2014-03-21T05:59:00Z</dcterms:modified>
</cp:coreProperties>
</file>