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2014 г. N 42-7.4-05/3.2-403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исполнения полномочий по ведению Федеральным казначейством реестра банковских гарантий сообщаем следующее.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июля 2014 г. вступают в силу отдельные положения </w:t>
      </w:r>
      <w:hyperlink r:id="rId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формирования информации и документов для ведения реестра банковских гарантий, утвержденного приказом Министерства финансов Российской Федерации от 18 декабря 2013 г. N 126н.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с 1 июля 2014 г. вносятся изменения в функциональные возможности информационной системы Федерального казначейства, обеспечивающей ведение реестра банковских гарантий (далее - Информационная система), перечень которых представлен в </w:t>
      </w:r>
      <w:hyperlink w:anchor="Par2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предусмотрены изменения в требованиях к форматам файлов информационного обмена с внешними информационными ресурсами, в соответствии с которыми обеспечивается интеграционное взаимодействие Информационной системы с внешними информационными системами банков (далее - Требования к интеграционному взаимодействию), а также в Руководстве пользователя по работе в Информационной системе.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Новая редакция Руководства пользователя по работе в Информационной системе размещена в разделе "Дополнительно/Документы/Руководства пользователя/ФКС. Руководство пользователя Реестр банковских гарантий" общедоступной части официального сайта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сайт). Обновленные Требования к интеграционному взаимодействию Информационной системы с внешними ресурсами размещены в разделе "Дополнительно/Документы/Регламентные документы/ФКС. Альбом ТФФ v. 4.3.100" общедоступной части Официального сайта.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вышеизложенного Федеральное казначейство поручает обеспечить доведение до банков, отвечающих установленным </w:t>
      </w:r>
      <w:hyperlink r:id="rId7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требованиям для принятия банковских гарантий в целях налогообложения, перечня вводимых с 1 июля 2014 г. изменений в функциональные возможности Информационной системы, а также информации об обновленных версиях Руководства пользователя и Требований к интеграционному взаимодействию.</w:t>
      </w:r>
      <w:proofErr w:type="gramEnd"/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ИЗМЕНЕНИЯ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ИНФОРМАЦИОННОЙ СИСТЕМЕ ФЕДЕРАЛЬНОГО КАЗНАЧЕЙСТВА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ВЕДЕНИЮ РЕЕСТРА БАНКОВСКИХ ГАРАНТИЙ С 1 ИЮЛЯ 2014 Г.</w:t>
      </w: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43785" w:rsidSect="00811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131"/>
        <w:gridCol w:w="4000"/>
      </w:tblGrid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Изменения в порядке формирования информации о банковских гарантиях, вступающие в силу с 1 июля 2014 г.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Министерства финансов Российской Федерации от 18 декабря 2013 г. N 126н "О порядке формирования информации и документов для ведения реестра банковских гарантий"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 в системе в соответствии с пунктами, вступающими в силу с 1 июля 2014 г.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Абзац 10 пункта 13</w:t>
              </w:r>
            </w:hyperlink>
            <w:r>
              <w:rPr>
                <w:rFonts w:ascii="Calibri" w:hAnsi="Calibri" w:cs="Calibri"/>
              </w:rPr>
              <w:t xml:space="preserve"> "Информация о коде населенного пункта места нахождения банка, заказчика, поставщика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административно-территориального деления кодам Общероссийского классификатора территорий муниципальных образований"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"Сведения о банке", "Сведения о банковской гарантии":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добавлены поля "Код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" и "Наименование населенного пункта местонахождения". Поля заполняются автоматически. В случае невозможности автоматически определить информацию о коде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банка или заказчика доступен выбор из справочника. Поле "Наименование населенного пункта местонахождения" заполняется автоматически при заполнении поля "Код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>".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"Информация о поставщике (подрядчике, исполнителе)":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добавлены поля "Код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" и "Наименование населенного пункта местонахождения". Для выбора кода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банка доступен выбор из справочника. Поле "Наименование населенного пункта местонахождения" заполняется автоматически при заполнении поля "Код по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>"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Абзац 3 пункта 14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 части даты постановки на учет в налоговом органе в соответствии со свидетельством</w:t>
            </w:r>
            <w:proofErr w:type="gramEnd"/>
            <w:r>
              <w:rPr>
                <w:rFonts w:ascii="Calibri" w:hAnsi="Calibri" w:cs="Calibri"/>
              </w:rPr>
              <w:t xml:space="preserve"> о постановке на учет в налоговом органе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Добавлено поле "Дата постановки на учет в налоговом органе" для банка, поставщика, заказчика. Поле заполняется вручную (выбор из календаря)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Абзац 2 пункта 15</w:t>
              </w:r>
            </w:hyperlink>
            <w:r>
              <w:rPr>
                <w:rFonts w:ascii="Calibri" w:hAnsi="Calibri" w:cs="Calibri"/>
              </w:rPr>
              <w:t xml:space="preserve"> "Дополнительно полное наименование иностранного юридического лица может указываться с использованием букв латинского алфавита"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Добавлено поле "Полное наименование (латинскими буквами)" для поставщика, являющегося иностранным юридическим лицом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Абзац 2 пункта 16</w:t>
              </w:r>
            </w:hyperlink>
            <w:r>
              <w:rPr>
                <w:rFonts w:ascii="Calibri" w:hAnsi="Calibri" w:cs="Calibri"/>
              </w:rPr>
              <w:t xml:space="preserve"> "страна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(ОКСМ)"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Добавлено поля "Страна регистрации" и "Код по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ОКСМ</w:t>
              </w:r>
            </w:hyperlink>
            <w:r>
              <w:rPr>
                <w:rFonts w:ascii="Calibri" w:hAnsi="Calibri" w:cs="Calibri"/>
              </w:rPr>
              <w:t xml:space="preserve">" для поставщика, являющегося иностранным юридическим лицом. Для указания значения поля "Страна регистрации" доступен выбор из справочника, поле "Код по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ОКСМ</w:t>
              </w:r>
            </w:hyperlink>
            <w:r>
              <w:rPr>
                <w:rFonts w:ascii="Calibri" w:hAnsi="Calibri" w:cs="Calibri"/>
              </w:rPr>
              <w:t>" заполняется автоматически при указании страны регистрации.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Абзацы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14 пункта 16</w:t>
              </w:r>
            </w:hyperlink>
            <w:r>
              <w:rPr>
                <w:rFonts w:ascii="Calibri" w:hAnsi="Calibri" w:cs="Calibri"/>
              </w:rPr>
              <w:t xml:space="preserve"> "При налич</w:t>
            </w:r>
            <w:proofErr w:type="gramStart"/>
            <w:r>
              <w:rPr>
                <w:rFonts w:ascii="Calibri" w:hAnsi="Calibri" w:cs="Calibri"/>
              </w:rPr>
              <w:t>ии у и</w:t>
            </w:r>
            <w:proofErr w:type="gramEnd"/>
            <w:r>
              <w:rPr>
                <w:rFonts w:ascii="Calibri" w:hAnsi="Calibri" w:cs="Calibri"/>
              </w:rPr>
              <w:t>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наименование субъекта Российской Федерации и кодовое обозначение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Федерации, установленное Федеральной налоговой службой в соответствии с федеративным устройством Российской Федерации, определенным статьей 65 Конституции Российской Федерации, в целях ведения Единого государственного реестра юридических лиц;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почтовый индекс;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тип населенного пункта, наименование населенного пункта, код населенного пункта в соответствии с Общероссийским классификатором территорий муниципальных образований;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тип и наименование элемента планировочной структуры (при наличии);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тип и наименование объекта улично-дорожной сети (при наличии);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тип и цифровое или буквенно-цифровое обозначение объекта адресации (при наличии)"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поставщика, являющегося иностранным юридическим лицом, добавлен переключатель "Наличие у поставщика места пребывания на территории РФ", при установке которого доступны поля: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"Субъект РФ поставщика (подрядчика, исполнителя)". Для указания значения поля "доступен выбор из справочника;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"Код субъекта". Поле заполняется автоматически при указании субъекта;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"Код по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 xml:space="preserve">". Выбор из справочника, необязательно для заполнения. При указании - значения поля "Код по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>" заполняются автоматически;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"Код по ОКТМО". Выбор из справочника.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"Наименование населенного пункта". Заполняется автоматически при выборе кода по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"Адрес места нахождения". Заполняется вручную.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Абзац 4 пункта 17</w:t>
              </w:r>
            </w:hyperlink>
            <w:r>
              <w:rPr>
                <w:rFonts w:ascii="Calibri" w:hAnsi="Calibri" w:cs="Calibri"/>
              </w:rPr>
              <w:t xml:space="preserve"> "код причины и дата постановки на учет в налоговом органе в соответствии со свидетельством о постановке на учет в налоговом органе"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поставщика, являющегося иностранным юридическим лицом, добавлен переключатель "Поставщик состоит на учете в налоговых органах на территории РФ", при установке которого доступны дополнительные поля: "КПП" (ввод вручную) и "Дата постановки на учет в налоговом органе" (выбор из календаря).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Абзац 1 пункта 18</w:t>
              </w:r>
            </w:hyperlink>
            <w:r>
              <w:rPr>
                <w:rFonts w:ascii="Calibri" w:hAnsi="Calibri" w:cs="Calibri"/>
              </w:rPr>
              <w:t xml:space="preserve"> в части сведений об иностранных гражданах "При формировании информации о наименовании поставщика, являющегося индивидуальным предпринимателем, указывается </w:t>
            </w:r>
            <w:r>
              <w:rPr>
                <w:rFonts w:ascii="Calibri" w:hAnsi="Calibri" w:cs="Calibri"/>
              </w:rPr>
              <w:lastRenderedPageBreak/>
              <w:t>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поставщика, являющегося физическим лицом иностранного </w:t>
            </w:r>
            <w:r>
              <w:rPr>
                <w:rFonts w:ascii="Calibri" w:hAnsi="Calibri" w:cs="Calibri"/>
              </w:rPr>
              <w:lastRenderedPageBreak/>
              <w:t>государства, добавлено поле "Фамилия, имя, отчество (латинскими буквами)"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Абзаца 3 пункта 19</w:t>
              </w:r>
            </w:hyperlink>
            <w:r>
              <w:rPr>
                <w:rFonts w:ascii="Calibri" w:hAnsi="Calibri" w:cs="Calibri"/>
              </w:rPr>
              <w:t xml:space="preserve"> "дата постановки на учет индивидуального предпринимателя в соответствии со свидетельством о постановке на учет в налоговом органе"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поставщика, являющегося физическим лицом РФ, добавлено поле "Дата постановки на учет в налоговом органе"</w:t>
            </w:r>
          </w:p>
        </w:tc>
      </w:tr>
      <w:tr w:rsidR="0044378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Абзацы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5 пункта 20</w:t>
              </w:r>
            </w:hyperlink>
            <w:r>
              <w:rPr>
                <w:rFonts w:ascii="Calibri" w:hAnsi="Calibri" w:cs="Calibri"/>
              </w:rPr>
              <w:t xml:space="preserve"> "наименование и код валюты, в которой указывается денежная сумма, в соответствии с Общероссийским классификатором валют;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денежной суммы в единице валюты с точностью до сотого знака после запятой.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указания денежной суммы в иностранной валюте дополнительно указывается следующая информация: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иностранной валюты по отношению к рублю на дату выдачи банковской гарантии, установленный Центральным банком Российской Федерации"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"Сведения о банковской гарантии". Добавлены поля: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"Валюта (наименование)" (выбор из справочника)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"Код валюты" (автоматически при выборе валюты)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"Денежная сумма"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"Курс валюты по отношению к рублю" (автоматически)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"Денежная сумма (в рублях)" (автоматически)</w:t>
            </w:r>
          </w:p>
        </w:tc>
      </w:tr>
      <w:tr w:rsidR="004437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Абзацы 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8 пункта 20</w:t>
              </w:r>
            </w:hyperlink>
            <w:r>
              <w:rPr>
                <w:rFonts w:ascii="Calibri" w:hAnsi="Calibri" w:cs="Calibri"/>
              </w:rPr>
              <w:t xml:space="preserve"> "Информация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размере денежной суммы, </w:t>
            </w:r>
            <w:r>
              <w:rPr>
                <w:rFonts w:ascii="Calibri" w:hAnsi="Calibri" w:cs="Calibri"/>
              </w:rPr>
              <w:lastRenderedPageBreak/>
              <w:t>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Федерации"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Абзац 3 пункта 21</w:t>
              </w:r>
            </w:hyperlink>
            <w:r>
              <w:rPr>
                <w:rFonts w:ascii="Calibri" w:hAnsi="Calibri" w:cs="Calibri"/>
              </w:rPr>
              <w:t xml:space="preserve"> "дата окончания срока действия банковской гарантии"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информации о банковской гарантии.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"Сведения о банковской гарантии". Добавлено поле "Дата окончания срока действия банковской гарантии" (выбор из календаря вручную)</w:t>
            </w:r>
          </w:p>
        </w:tc>
      </w:tr>
      <w:tr w:rsidR="004437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Абзац 5 пункта 25</w:t>
              </w:r>
            </w:hyperlink>
            <w:r>
              <w:rPr>
                <w:rFonts w:ascii="Calibri" w:hAnsi="Calibri" w:cs="Calibri"/>
              </w:rPr>
              <w:t xml:space="preserve"> "дату присвоения уникального номера реестровой записи реестра"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реестра банковских гарантий (печатная форма).</w:t>
            </w:r>
          </w:p>
          <w:p w:rsidR="00443785" w:rsidRDefault="0044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Добавлено поле "Дата присвоения уникального номера реестровой записи реестра"</w:t>
            </w:r>
          </w:p>
        </w:tc>
      </w:tr>
    </w:tbl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785" w:rsidRDefault="004437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763D" w:rsidRDefault="0063763D">
      <w:bookmarkStart w:id="3" w:name="_GoBack"/>
      <w:bookmarkEnd w:id="3"/>
    </w:p>
    <w:sectPr w:rsidR="006376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85"/>
    <w:rsid w:val="00443785"/>
    <w:rsid w:val="006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EFAEF1D5B763039DA54B823266DFC30CE7287311AB036EF82B2A127DD17H" TargetMode="External"/><Relationship Id="rId13" Type="http://schemas.openxmlformats.org/officeDocument/2006/relationships/hyperlink" Target="consultantplus://offline/ref=0CAEFAEF1D5B763039DA54B823266DFC30CC7E8F311DB036EF82B2A127DD17H" TargetMode="External"/><Relationship Id="rId18" Type="http://schemas.openxmlformats.org/officeDocument/2006/relationships/hyperlink" Target="consultantplus://offline/ref=0CAEFAEF1D5B763039DA54B823266DFC30CE7287311AB036EF82B2A127D7001E4A70187580D855B7D317H" TargetMode="External"/><Relationship Id="rId26" Type="http://schemas.openxmlformats.org/officeDocument/2006/relationships/hyperlink" Target="consultantplus://offline/ref=0CAEFAEF1D5B763039DA54B823266DFC30CE7287311AB036EF82B2A127D7001E4A70187580D855B9D31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AEFAEF1D5B763039DA54B823266DFC30CE7287311AB036EF82B2A127D7001E4A70187580D855B6D313H" TargetMode="External"/><Relationship Id="rId34" Type="http://schemas.openxmlformats.org/officeDocument/2006/relationships/hyperlink" Target="consultantplus://offline/ref=0CAEFAEF1D5B763039DA54B823266DFC30CE7287311AB036EF82B2A127D7001E4A70187580D854B0D317H" TargetMode="External"/><Relationship Id="rId7" Type="http://schemas.openxmlformats.org/officeDocument/2006/relationships/hyperlink" Target="consultantplus://offline/ref=0CAEFAEF1D5B763039DA54B823266DFC30CD70863314B036EF82B2A127D7001E4A70187686DFD513H" TargetMode="External"/><Relationship Id="rId12" Type="http://schemas.openxmlformats.org/officeDocument/2006/relationships/hyperlink" Target="consultantplus://offline/ref=0CAEFAEF1D5B763039DA54B823266DFC30CC7E8F311DB036EF82B2A127DD17H" TargetMode="External"/><Relationship Id="rId17" Type="http://schemas.openxmlformats.org/officeDocument/2006/relationships/hyperlink" Target="consultantplus://offline/ref=0CAEFAEF1D5B763039DA54B823266DFC30CE7287311AB036EF82B2A127D7001E4A70187580D855B7D311H" TargetMode="External"/><Relationship Id="rId25" Type="http://schemas.openxmlformats.org/officeDocument/2006/relationships/hyperlink" Target="consultantplus://offline/ref=0CAEFAEF1D5B763039DA54B823266DFC30CC7E8F311DB036EF82B2A127DD17H" TargetMode="External"/><Relationship Id="rId33" Type="http://schemas.openxmlformats.org/officeDocument/2006/relationships/hyperlink" Target="consultantplus://offline/ref=0CAEFAEF1D5B763039DA54B823266DFC30CE7287311AB036EF82B2A127D7001E4A70187580D855B8D31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EFAEF1D5B763039DA54B823266DFC30CE7287311AB036EF82B2A127D7001E4A70187580D855B7D313H" TargetMode="External"/><Relationship Id="rId20" Type="http://schemas.openxmlformats.org/officeDocument/2006/relationships/hyperlink" Target="consultantplus://offline/ref=0CAEFAEF1D5B763039DA54B823266DFC30CD70853819B036EF82B2A127D7001E4A70187580D855B0D313H" TargetMode="External"/><Relationship Id="rId29" Type="http://schemas.openxmlformats.org/officeDocument/2006/relationships/hyperlink" Target="consultantplus://offline/ref=0CAEFAEF1D5B763039DA54B823266DFC30CE7287311AB036EF82B2A127D7001E4A70187580D855B8D31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EFAEF1D5B763039DA54B823266DFC30CE7287311AB036EF82B2A127D7001E4A70187580D855B1D31AH" TargetMode="External"/><Relationship Id="rId11" Type="http://schemas.openxmlformats.org/officeDocument/2006/relationships/hyperlink" Target="consultantplus://offline/ref=0CAEFAEF1D5B763039DA54B823266DFC30CC7E8F311DB036EF82B2A127DD17H" TargetMode="External"/><Relationship Id="rId24" Type="http://schemas.openxmlformats.org/officeDocument/2006/relationships/hyperlink" Target="consultantplus://offline/ref=0CAEFAEF1D5B763039DA54B823266DFC30CC7E8F311DB036EF82B2A127DD17H" TargetMode="External"/><Relationship Id="rId32" Type="http://schemas.openxmlformats.org/officeDocument/2006/relationships/hyperlink" Target="consultantplus://offline/ref=0CAEFAEF1D5B763039DA54B823266DFC30CE7287311AB036EF82B2A127D7001E4A70187580D855B8D31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AEFAEF1D5B763039DA54B823266DFC30CC7E8F311DB036EF82B2A127DD17H" TargetMode="External"/><Relationship Id="rId23" Type="http://schemas.openxmlformats.org/officeDocument/2006/relationships/hyperlink" Target="consultantplus://offline/ref=0CAEFAEF1D5B763039DA54B823266DFC30CD70823315B036EF82B2A127DD17H" TargetMode="External"/><Relationship Id="rId28" Type="http://schemas.openxmlformats.org/officeDocument/2006/relationships/hyperlink" Target="consultantplus://offline/ref=0CAEFAEF1D5B763039DA54B823266DFC30CE7287311AB036EF82B2A127D7001E4A70187580D855B9D31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AEFAEF1D5B763039DA54B823266DFC30CC7E8F311DB036EF82B2A127DD17H" TargetMode="External"/><Relationship Id="rId19" Type="http://schemas.openxmlformats.org/officeDocument/2006/relationships/hyperlink" Target="consultantplus://offline/ref=0CAEFAEF1D5B763039DA54B823266DFC30CD70853819B036EF82B2A127D7001E4A70187580D855B0D313H" TargetMode="External"/><Relationship Id="rId31" Type="http://schemas.openxmlformats.org/officeDocument/2006/relationships/hyperlink" Target="consultantplus://offline/ref=0CAEFAEF1D5B763039DA54B823266DFC30CE7287311AB036EF82B2A127D7001E4A70187580D855B8D3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EFAEF1D5B763039DA54B823266DFC30CE7287311AB036EF82B2A127D7001E4A70187580D855B4D314H" TargetMode="External"/><Relationship Id="rId14" Type="http://schemas.openxmlformats.org/officeDocument/2006/relationships/hyperlink" Target="consultantplus://offline/ref=0CAEFAEF1D5B763039DA54B823266DFC30CC7E8F311DB036EF82B2A127DD17H" TargetMode="External"/><Relationship Id="rId22" Type="http://schemas.openxmlformats.org/officeDocument/2006/relationships/hyperlink" Target="consultantplus://offline/ref=0CAEFAEF1D5B763039DA54B823266DFC30CE7287311AB036EF82B2A127D7001E4A70187580D855B6D315H" TargetMode="External"/><Relationship Id="rId27" Type="http://schemas.openxmlformats.org/officeDocument/2006/relationships/hyperlink" Target="consultantplus://offline/ref=0CAEFAEF1D5B763039DA54B823266DFC30CE7287311AB036EF82B2A127D7001E4A70187580D855B9D317H" TargetMode="External"/><Relationship Id="rId30" Type="http://schemas.openxmlformats.org/officeDocument/2006/relationships/hyperlink" Target="consultantplus://offline/ref=0CAEFAEF1D5B763039DA54B823266DFC30CE7287311AB036EF82B2A127D7001E4A70187580D855B8D31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2014-07-21T07:53:00Z</dcterms:created>
  <dcterms:modified xsi:type="dcterms:W3CDTF">2014-07-21T07:54:00Z</dcterms:modified>
</cp:coreProperties>
</file>