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декабря 2013 г. N 42-7.4-05/3.2-828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обеспечения ведения Федеральным казначейством реестра банковских гарантий 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N 1005) направляем для использования в работе Временную </w:t>
      </w:r>
      <w:hyperlink w:anchor="Par19" w:history="1">
        <w:r>
          <w:rPr>
            <w:rFonts w:ascii="Calibri" w:hAnsi="Calibri" w:cs="Calibri"/>
            <w:color w:val="0000FF"/>
          </w:rPr>
          <w:t>схему</w:t>
        </w:r>
      </w:hyperlink>
      <w:r>
        <w:rPr>
          <w:rFonts w:ascii="Calibri" w:hAnsi="Calibri" w:cs="Calibri"/>
        </w:rPr>
        <w:t xml:space="preserve"> формирования информации и</w:t>
      </w:r>
      <w:proofErr w:type="gramEnd"/>
      <w:r>
        <w:rPr>
          <w:rFonts w:ascii="Calibri" w:hAnsi="Calibri" w:cs="Calibri"/>
        </w:rPr>
        <w:t xml:space="preserve"> документов для ведения реестра банковских гарантий, согласно приложению N 1 к настоящему письму.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Настоящая Временная </w:t>
      </w:r>
      <w:hyperlink w:anchor="Par19" w:history="1">
        <w:r>
          <w:rPr>
            <w:rFonts w:ascii="Calibri" w:hAnsi="Calibri" w:cs="Calibri"/>
            <w:color w:val="0000FF"/>
          </w:rPr>
          <w:t>схема</w:t>
        </w:r>
      </w:hyperlink>
      <w:r>
        <w:rPr>
          <w:rFonts w:ascii="Calibri" w:hAnsi="Calibri" w:cs="Calibri"/>
        </w:rPr>
        <w:t xml:space="preserve"> действует до утверждения Министерством финансов Российской Федерации Порядка формирования информации и документов для ведения реестра банковских гарантий.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Кроме того, в целях своевременного исполнения Федеральным казначейством полномочий, возложенных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N 1005, а также обеспечения включения информации и документов о выданных банковских гарантиях в реестр банковских гарантий, Федеральное казначейство</w:t>
      </w:r>
      <w:proofErr w:type="gramEnd"/>
      <w:r>
        <w:rPr>
          <w:rFonts w:ascii="Calibri" w:hAnsi="Calibri" w:cs="Calibri"/>
        </w:rPr>
        <w:t xml:space="preserve"> поручает провести разъяснительную работу с банками на соответствующей территории согласно приложению N 2 по процедуре регистрации на официальном сайте (перечень банков, копия письма Федерального казначейства в банки от 16 декабря 2013 г. N 42-7.4-05/3.2-807 прилагаются).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 сообщаем, что на официальном сайте Федерального казначейства (www.roskazna.ru) открыт новый раздел Форума "Реестр банковских гарантий" для организации работы по вопросам организационной, технической и методологической поддержки функционирования реестра банковских гарантий.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ВРЕМЕННАЯ СХЕМА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ФОРМИРОВАНИЯ ИНФОРМАЦИИ И ДОКУМЕНТОВ ДЛЯ ВЕДЕНИЯ РЕЕСТРА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БАНКОВСКИХ ГАРАНТИЙ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Настоящая Временная схема формирования информации и документов для ведения реестра банковских гарантий (далее - Схема) устанавливает правила формирования информации и документов для ведения реестра банковских гарантий до утверждения Министерством финансов Российской Федерации Порядка формирования информации и документов для ведения реестра банковских гарантий.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Информация и документы, включаемые в реестр банковских гарантий (далее соответственно - информация, документы, информация и документы, реестр), формируются: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банками, выдающими банковские гарантии, используемые для целей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банковские гарантии);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заказчиками, являющимися бенефициарами по банковским гарантиям (далее - заказчики).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Формирование банками, выдающими банковские гарантии, и заказчиками информации и </w:t>
      </w:r>
      <w:r>
        <w:rPr>
          <w:rFonts w:ascii="Calibri" w:hAnsi="Calibri" w:cs="Calibri"/>
        </w:rPr>
        <w:lastRenderedPageBreak/>
        <w:t>документов, включаемых в реестр, осуществляется с использованием федеральной информационной системы Федерального казначейства, доступ к 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после прохождения процедуры регистрации в информационной системе в порядке, установленном для регистрации пользователей на официальном сайте Российской Федерации в информационно-телекоммуникационной сети</w:t>
      </w:r>
      <w:proofErr w:type="gramEnd"/>
      <w:r>
        <w:rPr>
          <w:rFonts w:ascii="Calibri" w:hAnsi="Calibri" w:cs="Calibri"/>
        </w:rPr>
        <w:t xml:space="preserve"> "Интернет" для размещения информации о размещении заказов на поставки товаров, выполнение работ, оказание услуг.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Информация и документы, формируемые заказчиками и банками, подписываются усиленной неквалифицированной электронной подписью (далее - электронная подпись) уполномоченного от их имени лица, сертификат ключа </w:t>
      </w:r>
      <w:proofErr w:type="gramStart"/>
      <w:r>
        <w:rPr>
          <w:rFonts w:ascii="Calibri" w:hAnsi="Calibri" w:cs="Calibri"/>
        </w:rPr>
        <w:t>проверки</w:t>
      </w:r>
      <w:proofErr w:type="gramEnd"/>
      <w:r>
        <w:rPr>
          <w:rFonts w:ascii="Calibri" w:hAnsi="Calibri" w:cs="Calibri"/>
        </w:rPr>
        <w:t xml:space="preserve"> которой выдан удостоверяющим центром Федерального казначейства.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5. Информация, включаемая в реестр, формируется в структурированном виде путем заполнения экранных форм веб-интерфейса информационной системы. При формировании информации применяются справочники, реестры и классификаторы, используемые в информационных системах управления государственными и муниципальными финансами в соответствии с настоящей Схемой.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несоответствия информации, содержащейся в банковской гарантии, и информации, содержащейся в реестрах, классификаторах и справочниках, используемых в информационных системах управления государственными и муниципальными финансами и указанных в настоящей Схеме, подлежит изменению информация, содержащаяся в банковской гарантии.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1"/>
      <w:bookmarkEnd w:id="3"/>
      <w:r>
        <w:rPr>
          <w:rFonts w:ascii="Calibri" w:hAnsi="Calibri" w:cs="Calibri"/>
        </w:rPr>
        <w:t>6. Документы, включаемые в реестр, формируются в виде электронной копии бумажного документа, созданной посредством его сканирования. Электронные копии документов должны иметь распространенные открытые форматы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Ответственность за формирование информации и документов, за их полноту и достоверность несет уполномоченное от имени банка и/или заказчика лицо, чьей электронной подписью подписаны соответствующие сведения.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Информация и документы формируются на государственном языке Российской Федерации. Наименования иностранных юридических лиц и фамилия, имя, отчество (при наличии) иностранных физических лиц и лиц без гражданства могут быть указаны с использованием букв латинского алфавита на основании документов, предусмотренных в соответствии с законодательством иностранных государств.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целях ведения реестра банк обеспечивает формирование следующей информации и документов: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"/>
      <w:bookmarkEnd w:id="4"/>
      <w:r>
        <w:rPr>
          <w:rFonts w:ascii="Calibri" w:hAnsi="Calibri" w:cs="Calibri"/>
        </w:rPr>
        <w:t>а) наименование, место нахождения банка, являющегося гарантом (далее - банк),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наименование, место нахождения поставщика (подрядчика, исполнителя), являющегося принципалом (далее - поставщик),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наименование, местонахождение заказчика, идентификационный номер налогоплательщика;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денежная сумма, подлежащая уплате банком в случае неисполнения поставщиком в установленных случаях требований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срок действия банковской гарантии;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"/>
      <w:bookmarkEnd w:id="5"/>
      <w:r>
        <w:rPr>
          <w:rFonts w:ascii="Calibri" w:hAnsi="Calibri" w:cs="Calibri"/>
        </w:rPr>
        <w:t>е) идентификационный код закупки;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1"/>
      <w:bookmarkEnd w:id="6"/>
      <w:r>
        <w:rPr>
          <w:rFonts w:ascii="Calibri" w:hAnsi="Calibri" w:cs="Calibri"/>
        </w:rPr>
        <w:t>ж) копия заключенного договора банковской гарантии;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42"/>
      <w:bookmarkEnd w:id="7"/>
      <w:r>
        <w:rPr>
          <w:rFonts w:ascii="Calibri" w:hAnsi="Calibri" w:cs="Calibri"/>
        </w:rPr>
        <w:t>з) копия документа о внесении изменений в условия банковской гарантии (при наличии).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43"/>
      <w:bookmarkEnd w:id="8"/>
      <w:r>
        <w:rPr>
          <w:rFonts w:ascii="Calibri" w:hAnsi="Calibri" w:cs="Calibri"/>
        </w:rPr>
        <w:t>10. В случае отказа в принятии банковской гарантии заказчик обеспечивает формирование информации об отказе заказчика в принятии банковской гарантии.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44"/>
      <w:bookmarkEnd w:id="9"/>
      <w:r>
        <w:rPr>
          <w:rFonts w:ascii="Calibri" w:hAnsi="Calibri" w:cs="Calibri"/>
        </w:rPr>
        <w:lastRenderedPageBreak/>
        <w:t>К информации об отказе заказчика в принятии банковской гарантии в адрес поставщика прилагается соответствующий документ заказчика, содержащий информацию об отказе в принятии банковской гарантии с указанием причин, послуживших основанием для отказа.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Сведения, указанные в </w:t>
      </w:r>
      <w:hyperlink w:anchor="Par35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40" w:history="1">
        <w:r>
          <w:rPr>
            <w:rFonts w:ascii="Calibri" w:hAnsi="Calibri" w:cs="Calibri"/>
            <w:color w:val="0000FF"/>
          </w:rPr>
          <w:t>"е" пункта 9</w:t>
        </w:r>
      </w:hyperlink>
      <w:r>
        <w:rPr>
          <w:rFonts w:ascii="Calibri" w:hAnsi="Calibri" w:cs="Calibri"/>
        </w:rPr>
        <w:t xml:space="preserve"> и в </w:t>
      </w:r>
      <w:hyperlink w:anchor="Par43" w:history="1">
        <w:r>
          <w:rPr>
            <w:rFonts w:ascii="Calibri" w:hAnsi="Calibri" w:cs="Calibri"/>
            <w:color w:val="0000FF"/>
          </w:rPr>
          <w:t>абзаце первом пункта 10</w:t>
        </w:r>
      </w:hyperlink>
      <w:r>
        <w:rPr>
          <w:rFonts w:ascii="Calibri" w:hAnsi="Calibri" w:cs="Calibri"/>
        </w:rPr>
        <w:t xml:space="preserve"> настоящей Схемы включаются в реестр в виде информации в соответствии с </w:t>
      </w:r>
      <w:hyperlink w:anchor="Par29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настоящей Схемы.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Сведения, указанные в </w:t>
      </w:r>
      <w:hyperlink w:anchor="Par41" w:history="1">
        <w:r>
          <w:rPr>
            <w:rFonts w:ascii="Calibri" w:hAnsi="Calibri" w:cs="Calibri"/>
            <w:color w:val="0000FF"/>
          </w:rPr>
          <w:t>подпунктах "ж"</w:t>
        </w:r>
      </w:hyperlink>
      <w:r>
        <w:rPr>
          <w:rFonts w:ascii="Calibri" w:hAnsi="Calibri" w:cs="Calibri"/>
        </w:rPr>
        <w:t xml:space="preserve"> и </w:t>
      </w:r>
      <w:hyperlink w:anchor="Par42" w:history="1">
        <w:r>
          <w:rPr>
            <w:rFonts w:ascii="Calibri" w:hAnsi="Calibri" w:cs="Calibri"/>
            <w:color w:val="0000FF"/>
          </w:rPr>
          <w:t>"з" пункта 9</w:t>
        </w:r>
      </w:hyperlink>
      <w:r>
        <w:rPr>
          <w:rFonts w:ascii="Calibri" w:hAnsi="Calibri" w:cs="Calibri"/>
        </w:rPr>
        <w:t xml:space="preserve"> и </w:t>
      </w:r>
      <w:hyperlink w:anchor="Par44" w:history="1">
        <w:r>
          <w:rPr>
            <w:rFonts w:ascii="Calibri" w:hAnsi="Calibri" w:cs="Calibri"/>
            <w:color w:val="0000FF"/>
          </w:rPr>
          <w:t>абзаце втором пункта 10</w:t>
        </w:r>
      </w:hyperlink>
      <w:r>
        <w:rPr>
          <w:rFonts w:ascii="Calibri" w:hAnsi="Calibri" w:cs="Calibri"/>
        </w:rPr>
        <w:t xml:space="preserve"> настоящей Схемы, включаются в реестр в виде документа в соответствии с </w:t>
      </w:r>
      <w:hyperlink w:anchor="Par31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настоящей Схемы.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формировании информации о наименовании банка, наименовании заказчика, наименовании поставщика (за исключением иностранных юридических лиц и индивидуальных предпринимателей),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банка, заказчика, поставщика в соответствии со сведениями Единого государственного реестра юридических лиц;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сокращенное наименование банка, заказчика, поставщика (при наличии) в соответствии со сведениями Единого государственного реестра юридических лиц;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организационно-правовой формы банка, заказчика, поставщика в соответствии с Общероссийским </w:t>
      </w:r>
      <w:hyperlink r:id="rId10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организационно-правовых форм.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При формировании информации о местонахождении банка, заказчика,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наименование субъекта Российской Федерации и код субъекта Российской Федерации, установленный Федеральной налоговый службой в соответствии с федеративным устройством Российской Федерации, определенным </w:t>
      </w:r>
      <w:hyperlink r:id="rId11" w:history="1">
        <w:r>
          <w:rPr>
            <w:rFonts w:ascii="Calibri" w:hAnsi="Calibri" w:cs="Calibri"/>
            <w:color w:val="0000FF"/>
          </w:rPr>
          <w:t>статьей 65</w:t>
        </w:r>
      </w:hyperlink>
      <w:r>
        <w:rPr>
          <w:rFonts w:ascii="Calibri" w:hAnsi="Calibri" w:cs="Calibri"/>
        </w:rPr>
        <w:t xml:space="preserve"> Конституции Российской Федерации, в целях ведения Единого государственного реестра юридических лиц;</w:t>
      </w:r>
      <w:proofErr w:type="gramEnd"/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 местонахождения банка, заказчика, поставщика;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2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элемента планировочной структуры (квартал, микрорайон, иные) (при наличии);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Под местонахождением банка, заказчика, поставщика (за исключением иностранных юридических лиц и индивидуальных предпринимателей) понимается местонахождение постоянно действующего исполнительного органа соответственно банка, заказчика, поставщика (в случае отсутствия постоянно действующего исполнительного органа банка, заказчика, исполнителя - иного органа или лица, имеющих право действовать от имени соответственно банка, заказчика, поставщика без доверенности), по которому осуществляется связь с банком, заказчиком, поставщиком.</w:t>
      </w:r>
      <w:proofErr w:type="gramEnd"/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формировании информации об идентификационном номере налогоплательщика банка, заказчика, поставщика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в налоговом органе</w:t>
      </w:r>
      <w:proofErr w:type="gramEnd"/>
      <w:r>
        <w:rPr>
          <w:rFonts w:ascii="Calibri" w:hAnsi="Calibri" w:cs="Calibri"/>
        </w:rPr>
        <w:t>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причины постановки </w:t>
      </w:r>
      <w:proofErr w:type="gramStart"/>
      <w:r>
        <w:rPr>
          <w:rFonts w:ascii="Calibri" w:hAnsi="Calibri" w:cs="Calibri"/>
        </w:rPr>
        <w:t>на учет в налоговом органе в соответствии со свидетельством о постановке</w:t>
      </w:r>
      <w:proofErr w:type="gramEnd"/>
      <w:r>
        <w:rPr>
          <w:rFonts w:ascii="Calibri" w:hAnsi="Calibri" w:cs="Calibri"/>
        </w:rPr>
        <w:t xml:space="preserve"> на учет в налоговом органе.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формировании информации о наименовании поставщика, являющегося иностранным юридическим лицом,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иностранного юридического лица на русском языке.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 формировании информации о местонахождении поставщика, являющегося иностранным юридическим лицом, указываются следующие сведения о местонахождении иностранного юридического лица в стране его регистрации: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населенного пункта, наименование населенного пункта лица;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тип и наименование элемента планировочной структуры (квартал, микрорайон, иные) (при наличии);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объекта улично-дорожной сети (улица, проспект, шоссе, переулок, проезд, набережная, площадь, иные</w:t>
      </w:r>
      <w:proofErr w:type="gramStart"/>
      <w:r>
        <w:rPr>
          <w:rFonts w:ascii="Calibri" w:hAnsi="Calibri" w:cs="Calibri"/>
        </w:rPr>
        <w:t>)(</w:t>
      </w:r>
      <w:proofErr w:type="gramEnd"/>
      <w:r>
        <w:rPr>
          <w:rFonts w:ascii="Calibri" w:hAnsi="Calibri" w:cs="Calibri"/>
        </w:rPr>
        <w:t>при наличии);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налогоплательщика, поставщика, являющегося иностранным юридическим лицом,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иностранных юридических лиц, состоящих на учете в налоговых органах на территории Российской Федерации: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в налоговом органе</w:t>
      </w:r>
      <w:proofErr w:type="gramEnd"/>
      <w:r>
        <w:rPr>
          <w:rFonts w:ascii="Calibri" w:hAnsi="Calibri" w:cs="Calibri"/>
        </w:rPr>
        <w:t>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налогоплательщика в стране регистрации или его аналог.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иностранных юридических лиц, не состоящих на учете в налоговых органах на территории Российской Федерации: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налогоплательщика в стране регистрации или его аналог.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формировании информации о наименовании поставщика, являющегося индивидуальным предпринимателем, указывается фамилия, имя и (в случае, если имеется) отчество на русском языке.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При формировании информации об идентификационном номере налогоплательщика поставщика, являющегося индивидуальным предпринимателем,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индивидуального предпринимателя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в налоговом органе</w:t>
      </w:r>
      <w:proofErr w:type="gramEnd"/>
      <w:r>
        <w:rPr>
          <w:rFonts w:ascii="Calibri" w:hAnsi="Calibri" w:cs="Calibri"/>
        </w:rPr>
        <w:t>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При формировании информации о денежной сумме, подлежащей уплате гарантом в случае неисполнения участником закупки в установленных случаях требований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денежной суммы, указанной в иностранной валюте, в рублевом эквиваленте.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При формировании информации о сроке действия банковской гарантии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выдачи банковской гарантии;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окончания срока действия банковской гарантии.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указывается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При формировании информации и документов для включения в реестр банковских гарантий указывается номер извещения об осуществлении закупки, размещенного на Официальном сайте, или уникальный номер контракта, в обеспечение которого выдана банковская гарантия, из реестра контрактов.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Уникальный номер контракта, в обеспечение которого выдана банковская гарантия, из реестра контрактов соответствует уникальному номеру реестровой записи в реестре контрактов, заключенных заказчиками, по соответствующему контракту. Уникальный номер контракта, в обеспечении которого выдана банковская гарантия, из реестра контрактов формируется для включения в реестр банковских гарантий в случае наличия. </w:t>
      </w:r>
      <w:proofErr w:type="gramStart"/>
      <w:r>
        <w:rPr>
          <w:rFonts w:ascii="Calibri" w:hAnsi="Calibri" w:cs="Calibri"/>
        </w:rPr>
        <w:t>Информация об уникальном номере контракта, в обеспечение которого выдана банковская гарантия, из реестра контрактов, формируется в федеральной информационной системе Федерального казначейства, доступ к 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путем выбора соответствующего уникального номера реестровой записи из реестра контрактов, заключенных заказчиками.</w:t>
      </w:r>
      <w:proofErr w:type="gramEnd"/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 о номере извещения об осуществлении закупки, размещенного на Официальном сайте, формируется в информационной системе путем выбора соответствующей записи из полного перечня номеров извещений об осуществлении закупки, размещенного на </w:t>
      </w:r>
      <w:r>
        <w:rPr>
          <w:rFonts w:ascii="Calibri" w:hAnsi="Calibri" w:cs="Calibri"/>
        </w:rPr>
        <w:lastRenderedPageBreak/>
        <w:t>Официальном сайте.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банковская гарантия выдана в качестве обеспечения исполнения контракта, заключаемого с единственным поставщиком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- </w:t>
      </w:r>
      <w:hyperlink r:id="rId20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- </w:t>
      </w:r>
      <w:hyperlink r:id="rId22" w:history="1">
        <w:r>
          <w:rPr>
            <w:rFonts w:ascii="Calibri" w:hAnsi="Calibri" w:cs="Calibri"/>
            <w:color w:val="0000FF"/>
          </w:rPr>
          <w:t>28 части 1 статьи 93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номер извещения об осуществлении закупки не указывается.</w:t>
      </w:r>
      <w:proofErr w:type="gramEnd"/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При формировании информации об отказе заказчика в принятии банковской гарантии указываются следующие сведения: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причин</w:t>
      </w:r>
      <w:proofErr w:type="gramStart"/>
      <w:r>
        <w:rPr>
          <w:rFonts w:ascii="Calibri" w:hAnsi="Calibri" w:cs="Calibri"/>
        </w:rPr>
        <w:t>а(</w:t>
      </w:r>
      <w:proofErr w:type="gramEnd"/>
      <w:r>
        <w:rPr>
          <w:rFonts w:ascii="Calibri" w:hAnsi="Calibri" w:cs="Calibri"/>
        </w:rPr>
        <w:t xml:space="preserve">ы), послужившая основанием для отказа в принятии банковской гарантии, и код(ов) причины (причин) отказа в принятии банковской гарантии в соответствии с </w:t>
      </w:r>
      <w:hyperlink w:anchor="Par116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настоящей Схеме;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и дата документа заказчика в адрес поставщика о направлении информации об отказе в принятии банковской гарантии.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указывается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причин</w:t>
      </w:r>
      <w:proofErr w:type="gramStart"/>
      <w:r>
        <w:rPr>
          <w:rFonts w:ascii="Calibri" w:hAnsi="Calibri" w:cs="Calibri"/>
        </w:rPr>
        <w:t>е(</w:t>
      </w:r>
      <w:proofErr w:type="gramEnd"/>
      <w:r>
        <w:rPr>
          <w:rFonts w:ascii="Calibri" w:hAnsi="Calibri" w:cs="Calibri"/>
        </w:rPr>
        <w:t xml:space="preserve">ах), послужившей основанием для отказа в принятии банковской гарантии, формируется в информационной системе автоматически после указания кода(ов) причины (причин) отказа в принятии банковской гарантии в соответствии с </w:t>
      </w:r>
      <w:hyperlink w:anchor="Par116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настоящей Схеме.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При формировании банком и заказчиком информации и документов, предусматривающих изменение (дополнение) реестровой записи реестра, банк и заказчик обеспечивают указание уникального номера реестровой записи реестра, в которую вносятся изменения (дополнения) в формате утвержденной в установленном порядке структуры уникального номера реестровой записи реестра.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После присвоения Федеральным казначейством реестровой записи реестра уникального номера и размещения ее в единой информационной системе в сфере закупок банком формируется выписка из реестра.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Выписка из реестра формируется в информационной системе автоматически на основании информации, включенной в реестровую запись реестра, и содержит: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информацию, включенную в реестровую запись реестра, сформированную в соответствии с настоящей Схемой;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уникальный номер реестровой записи </w:t>
      </w:r>
      <w:proofErr w:type="gramStart"/>
      <w:r>
        <w:rPr>
          <w:rFonts w:ascii="Calibri" w:hAnsi="Calibri" w:cs="Calibri"/>
        </w:rPr>
        <w:t>реестра</w:t>
      </w:r>
      <w:proofErr w:type="gramEnd"/>
      <w:r>
        <w:rPr>
          <w:rFonts w:ascii="Calibri" w:hAnsi="Calibri" w:cs="Calibri"/>
        </w:rPr>
        <w:t xml:space="preserve"> в формате утвержденной в установленном порядке структуры уникального номера реестровой записи реестра;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размещения реестровой записи в составе реестра в единой информационной системе в сфере закупок.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указывается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Банк осуществляет распечатку выписки из реестра из информационной системы, подписывает ее уполномоченным лицом от имени банка и скрепляет печатью банка.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107"/>
      <w:bookmarkEnd w:id="10"/>
      <w:r>
        <w:rPr>
          <w:rFonts w:ascii="Calibri" w:hAnsi="Calibri" w:cs="Calibri"/>
        </w:rPr>
        <w:t>Приложение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формирования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и документов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ведения реестра </w:t>
      </w:r>
      <w:proofErr w:type="gramStart"/>
      <w:r>
        <w:rPr>
          <w:rFonts w:ascii="Calibri" w:hAnsi="Calibri" w:cs="Calibri"/>
        </w:rPr>
        <w:t>банковских</w:t>
      </w:r>
      <w:proofErr w:type="gramEnd"/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гарантий, </w:t>
      </w:r>
      <w:proofErr w:type="gramStart"/>
      <w:r>
        <w:rPr>
          <w:rFonts w:ascii="Calibri" w:hAnsi="Calibri" w:cs="Calibri"/>
        </w:rPr>
        <w:t>утвержденному</w:t>
      </w:r>
      <w:proofErr w:type="gramEnd"/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"__" ______ 2013 г. N ___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116"/>
      <w:bookmarkEnd w:id="11"/>
      <w:r>
        <w:rPr>
          <w:rFonts w:ascii="Calibri" w:hAnsi="Calibri" w:cs="Calibri"/>
        </w:rPr>
        <w:t>КОДЫ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ПРИЧИНЫ ОТКАЗА ЗАКАЗЧИКА В ПРИНЯТИИ БАНКОВСКОЙ ГАРАНТИИ</w:t>
      </w: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2518E" w:rsidSect="001D1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79"/>
        <w:gridCol w:w="1581"/>
      </w:tblGrid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Причина отказа заказчика в принятии банковской гарантии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причины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Несоответствие банковской гарантии условиям, указанным в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части 2 статьи 45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в части отсутствия в банковской гарантии: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суммы банковской гарантии, подлежащей уплате гарантом заказчику в установленных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частью 13 статьи 44</w:t>
              </w:r>
            </w:hyperlink>
            <w:r>
              <w:rPr>
                <w:rFonts w:ascii="Calibri" w:hAnsi="Calibri" w:cs="Calibri"/>
              </w:rPr>
              <w:t xml:space="preserve"> Федерального закона случаях, или суммы банковской гарантии, подлежащей уплате гарантом заказчику в случае ненадлежащего исполнения обязательств принципалом в соответствии со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статьей 96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</w:t>
            </w:r>
            <w:proofErr w:type="gramStart"/>
            <w:r>
              <w:rPr>
                <w:rFonts w:ascii="Calibri" w:hAnsi="Calibri" w:cs="Calibri"/>
              </w:rPr>
              <w:t>ств пр</w:t>
            </w:r>
            <w:proofErr w:type="gramEnd"/>
            <w:r>
              <w:rPr>
                <w:rFonts w:ascii="Calibri" w:hAnsi="Calibri" w:cs="Calibri"/>
              </w:rPr>
              <w:t>инципала, надлежащее исполнение которых обеспечивается банковской гарантией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обязанности гаранта уплатить заказчику неустойку в размере 0,1 процента денежной суммы, подлежащей уплате за каждый календарный день просрочки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условия, согласно которому исполнением обязательств гаранта по банковской гарантии является фактическое поступление денежных сумм на счет заказчика,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срока действия банковской гарантии с учетом требований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статей 43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96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отлагательного условия, предусматривающего заключение договора предоставления банковской гарантии по обязательствам принципала, возникающим из контракта при его заключении, в случае предоставления банковской гарантии в качестве обеспечения исполнения контракта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установленного Правительством Российской Федерации перечня документов, предоставляемых заказчиком банку одновременно с требованием об осуществлении уплаты денежной суммы по банковской гарантии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Несоответствие банковской гарантии условиям, указанным в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части 3 статьи 45</w:t>
              </w:r>
            </w:hyperlink>
            <w:r>
              <w:rPr>
                <w:rFonts w:ascii="Calibri" w:hAnsi="Calibri" w:cs="Calibri"/>
              </w:rPr>
              <w:t xml:space="preserve"> Федерального закона в части отсутствия в банковской гарантии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условия о праве заказчика на бесспорное списание денежных средств со счета гаранта, если гарантом в срок не более чем пять </w:t>
            </w:r>
            <w:r>
              <w:rPr>
                <w:rFonts w:ascii="Calibri" w:hAnsi="Calibri" w:cs="Calibri"/>
              </w:rPr>
              <w:lastRenderedPageBreak/>
              <w:t>рабочих дней не исполнено</w:t>
            </w:r>
            <w:proofErr w:type="gramEnd"/>
            <w:r>
              <w:rPr>
                <w:rFonts w:ascii="Calibri" w:hAnsi="Calibri" w:cs="Calibri"/>
              </w:rPr>
              <w:t xml:space="preserve">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Несоответствие банковской гарантии требованиям, содержащимся в извещении об осуществлении закупки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Несоответствие банковской гарантии требованиям, содержащимся в приглашении принять участие в определении поставщика (подрядчика, исполнителя)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Несоответствие банковской гарантии требованиям, содержащимся в документации о закупке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D25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Несоответствие банковской гарантии требованиям, содержащимся в проекте контракта, который заключается с единственным поставщиком (подрядчиком, исполнителем)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E" w:rsidRDefault="00D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</w:tbl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518E" w:rsidRDefault="00D2518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D6524" w:rsidRDefault="00FD6524">
      <w:bookmarkStart w:id="12" w:name="_GoBack"/>
      <w:bookmarkEnd w:id="12"/>
    </w:p>
    <w:sectPr w:rsidR="00FD652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8E"/>
    <w:rsid w:val="00D2518E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F5D034C89C4785D4D0D4E21FC81A18D6862279BC7BAE71ECDF9A6295Bt7E" TargetMode="External"/><Relationship Id="rId13" Type="http://schemas.openxmlformats.org/officeDocument/2006/relationships/hyperlink" Target="consultantplus://offline/ref=3C7F5D034C89C4785D4D0D4E21FC81A18D6862279BC7BAE71ECDF9A6295Bt7E" TargetMode="External"/><Relationship Id="rId18" Type="http://schemas.openxmlformats.org/officeDocument/2006/relationships/hyperlink" Target="consultantplus://offline/ref=3C7F5D034C89C4785D4D0D4E21FC81A18D6862279BC7BAE71ECDF9A629B789B82CDE0CC0D4B7A38A50t6E" TargetMode="External"/><Relationship Id="rId26" Type="http://schemas.openxmlformats.org/officeDocument/2006/relationships/hyperlink" Target="consultantplus://offline/ref=3C7F5D034C89C4785D4D0D4E21FC81A18D6862279BC7BAE71ECDF9A629B789B82CDE0CC0D4B6A48D50t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7F5D034C89C4785D4D0D4E21FC81A18D6862279BC7BAE71ECDF9A629B789B82CDE0CC0D4B7A38550t7E" TargetMode="External"/><Relationship Id="rId7" Type="http://schemas.openxmlformats.org/officeDocument/2006/relationships/hyperlink" Target="consultantplus://offline/ref=3C7F5D034C89C4785D4D0D4E21FC81A18D696E219FC1BAE71ECDF9A6295Bt7E" TargetMode="External"/><Relationship Id="rId12" Type="http://schemas.openxmlformats.org/officeDocument/2006/relationships/hyperlink" Target="consultantplus://offline/ref=3C7F5D034C89C4785D4D0D4E21FC81A18D686B259FC1BAE71ECDF9A6295Bt7E" TargetMode="External"/><Relationship Id="rId17" Type="http://schemas.openxmlformats.org/officeDocument/2006/relationships/hyperlink" Target="consultantplus://offline/ref=3C7F5D034C89C4785D4D0D4E21FC81A18D6862279BC7BAE71ECDF9A629B789B82CDE0CC0D4B7A38B50t3E" TargetMode="External"/><Relationship Id="rId25" Type="http://schemas.openxmlformats.org/officeDocument/2006/relationships/hyperlink" Target="consultantplus://offline/ref=3C7F5D034C89C4785D4D0D4E21FC81A18D6862279BC7BAE71ECDF9A629B789B82CDE0CC0D4B7A28950t0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7F5D034C89C4785D4D0D4E21FC81A18D6862279BC7BAE71ECDF9A629B789B82CDE0CC0D4B7A38B50t2E" TargetMode="External"/><Relationship Id="rId20" Type="http://schemas.openxmlformats.org/officeDocument/2006/relationships/hyperlink" Target="consultantplus://offline/ref=3C7F5D034C89C4785D4D0D4E21FC81A18D6862279BC7BAE71ECDF9A629B789B82CDE0CC0D4B7A38550t4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7F5D034C89C4785D4D0D4E21FC81A18D6862279BC7BAE71ECDF9A629B789B82CDE0CC0D4B6A48B50tCE" TargetMode="External"/><Relationship Id="rId11" Type="http://schemas.openxmlformats.org/officeDocument/2006/relationships/hyperlink" Target="consultantplus://offline/ref=3C7F5D034C89C4785D4D0D4E21FC81A18E646D279393EDE54F98F7A321E7C1A8629B01C1D6B55At6E" TargetMode="External"/><Relationship Id="rId24" Type="http://schemas.openxmlformats.org/officeDocument/2006/relationships/hyperlink" Target="consultantplus://offline/ref=3C7F5D034C89C4785D4D0D4E21FC81A18D6862279BC7BAE71ECDF9A629B789B82CDE0CC0D4B6A48F50tDE" TargetMode="External"/><Relationship Id="rId5" Type="http://schemas.openxmlformats.org/officeDocument/2006/relationships/hyperlink" Target="consultantplus://offline/ref=3C7F5D034C89C4785D4D0D4E21FC81A18D696E219FC1BAE71ECDF9A629B789B82CDE0CC0D4B6A18E50t4E" TargetMode="External"/><Relationship Id="rId15" Type="http://schemas.openxmlformats.org/officeDocument/2006/relationships/hyperlink" Target="consultantplus://offline/ref=3C7F5D034C89C4785D4D0D4E21FC81A18D6862279BC7BAE71ECDF9A629B789B82CDE0CC0D4B7A38B50t6E" TargetMode="External"/><Relationship Id="rId23" Type="http://schemas.openxmlformats.org/officeDocument/2006/relationships/hyperlink" Target="consultantplus://offline/ref=3C7F5D034C89C4785D4D0D4E21FC81A18D6862279BC7BAE71ECDF9A629B789B82CDE0CC0D4B6A48850t5E" TargetMode="External"/><Relationship Id="rId28" Type="http://schemas.openxmlformats.org/officeDocument/2006/relationships/hyperlink" Target="consultantplus://offline/ref=3C7F5D034C89C4785D4D0D4E21FC81A18D6862279BC7BAE71ECDF9A629B789B82CDE0CC0D4B6A48850tDE" TargetMode="External"/><Relationship Id="rId10" Type="http://schemas.openxmlformats.org/officeDocument/2006/relationships/hyperlink" Target="consultantplus://offline/ref=3C7F5D034C89C4785D4D0D4E21FC81A18D69682B9ECCBAE71ECDF9A6295Bt7E" TargetMode="External"/><Relationship Id="rId19" Type="http://schemas.openxmlformats.org/officeDocument/2006/relationships/hyperlink" Target="consultantplus://offline/ref=3C7F5D034C89C4785D4D0D4E21FC81A18D6862279BC7BAE71ECDF9A629B789B82CDE0CC0D4B7A38A50t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7F5D034C89C4785D4D0D4E21FC81A18D6862279BC7BAE71ECDF9A6295Bt7E" TargetMode="External"/><Relationship Id="rId14" Type="http://schemas.openxmlformats.org/officeDocument/2006/relationships/hyperlink" Target="consultantplus://offline/ref=3C7F5D034C89C4785D4D0D4E21FC81A18D6862279BC7BAE71ECDF9A629B789B82CDE0CC0D4B7A38B50t5E" TargetMode="External"/><Relationship Id="rId22" Type="http://schemas.openxmlformats.org/officeDocument/2006/relationships/hyperlink" Target="consultantplus://offline/ref=3C7F5D034C89C4785D4D0D4E21FC81A18D6862279BC7BAE71ECDF9A629B789B82CDE0CC0D4B7A38550t1E" TargetMode="External"/><Relationship Id="rId27" Type="http://schemas.openxmlformats.org/officeDocument/2006/relationships/hyperlink" Target="consultantplus://offline/ref=3C7F5D034C89C4785D4D0D4E21FC81A18D6862279BC7BAE71ECDF9A629B789B82CDE0CC0D4B7A28950t0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2013-12-27T04:45:00Z</dcterms:created>
  <dcterms:modified xsi:type="dcterms:W3CDTF">2013-12-27T04:46:00Z</dcterms:modified>
</cp:coreProperties>
</file>