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3F1" w:rsidRDefault="00BD43F1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BD43F1" w:rsidRDefault="00BD43F1">
      <w:pPr>
        <w:pStyle w:val="ConsPlusNormal"/>
        <w:jc w:val="both"/>
        <w:outlineLvl w:val="0"/>
      </w:pPr>
    </w:p>
    <w:p w:rsidR="00BD43F1" w:rsidRDefault="00BD43F1">
      <w:pPr>
        <w:pStyle w:val="ConsPlusTitle"/>
        <w:jc w:val="center"/>
        <w:outlineLvl w:val="0"/>
      </w:pPr>
      <w:r>
        <w:t>МИНИСТЕРСТВО ФИНАНСОВ РОССИЙСКОЙ ФЕДЕРАЦИИ</w:t>
      </w:r>
    </w:p>
    <w:p w:rsidR="00BD43F1" w:rsidRDefault="00BD43F1">
      <w:pPr>
        <w:pStyle w:val="ConsPlusTitle"/>
        <w:jc w:val="both"/>
      </w:pPr>
    </w:p>
    <w:p w:rsidR="00BD43F1" w:rsidRDefault="00BD43F1">
      <w:pPr>
        <w:pStyle w:val="ConsPlusTitle"/>
        <w:jc w:val="center"/>
      </w:pPr>
      <w:r>
        <w:t>ФЕДЕРАЛЬНОЕ КАЗНАЧЕЙСТВО</w:t>
      </w:r>
    </w:p>
    <w:p w:rsidR="00BD43F1" w:rsidRDefault="00BD43F1">
      <w:pPr>
        <w:pStyle w:val="ConsPlusTitle"/>
        <w:jc w:val="both"/>
      </w:pPr>
    </w:p>
    <w:p w:rsidR="00BD43F1" w:rsidRDefault="00BD43F1">
      <w:pPr>
        <w:pStyle w:val="ConsPlusTitle"/>
        <w:jc w:val="center"/>
      </w:pPr>
      <w:r>
        <w:t>ПИСЬМО</w:t>
      </w:r>
    </w:p>
    <w:p w:rsidR="00BD43F1" w:rsidRDefault="00BD43F1">
      <w:pPr>
        <w:pStyle w:val="ConsPlusTitle"/>
        <w:jc w:val="center"/>
      </w:pPr>
      <w:r>
        <w:t>от 11 мая 2018 г. N 07-04-05/22-9155</w:t>
      </w:r>
    </w:p>
    <w:p w:rsidR="00BD43F1" w:rsidRDefault="00BD43F1">
      <w:pPr>
        <w:pStyle w:val="ConsPlusTitle"/>
        <w:jc w:val="both"/>
      </w:pPr>
    </w:p>
    <w:p w:rsidR="00BD43F1" w:rsidRDefault="00BD43F1">
      <w:pPr>
        <w:pStyle w:val="ConsPlusTitle"/>
        <w:jc w:val="center"/>
      </w:pPr>
      <w:r>
        <w:t>О НАПРАВЛЕНИИ</w:t>
      </w:r>
    </w:p>
    <w:p w:rsidR="00BD43F1" w:rsidRDefault="00BD43F1">
      <w:pPr>
        <w:pStyle w:val="ConsPlusTitle"/>
        <w:jc w:val="center"/>
      </w:pPr>
      <w:r>
        <w:t>ПИСЬМА МИНФИНА РОССИИ ОТ 20 АПРЕЛЯ 2018 Г. N 09-01-07/26934</w:t>
      </w:r>
    </w:p>
    <w:p w:rsidR="00BD43F1" w:rsidRDefault="00BD43F1">
      <w:pPr>
        <w:pStyle w:val="ConsPlusNormal"/>
        <w:jc w:val="both"/>
      </w:pPr>
    </w:p>
    <w:p w:rsidR="00BD43F1" w:rsidRDefault="00BD43F1">
      <w:pPr>
        <w:pStyle w:val="ConsPlusNormal"/>
        <w:ind w:firstLine="540"/>
        <w:jc w:val="both"/>
      </w:pPr>
      <w:r>
        <w:t xml:space="preserve">Федеральное казначейство направляет для использования в работе </w:t>
      </w:r>
      <w:hyperlink w:anchor="P25" w:history="1">
        <w:r>
          <w:rPr>
            <w:color w:val="0000FF"/>
          </w:rPr>
          <w:t>письмо</w:t>
        </w:r>
      </w:hyperlink>
      <w:r>
        <w:t xml:space="preserve"> Министерства финансов Российской Федерации от 20 апреля 2018 г. N 09-01-07/26934 по вопросу осуществления закупки у единственного поставщика в рамках исполнения государственного оборонного заказа за наличный расчет через подотчетных лиц путем принятия денежных обязательств.</w:t>
      </w:r>
    </w:p>
    <w:p w:rsidR="00BD43F1" w:rsidRDefault="00BD43F1">
      <w:pPr>
        <w:pStyle w:val="ConsPlusNormal"/>
        <w:jc w:val="both"/>
      </w:pPr>
    </w:p>
    <w:p w:rsidR="00BD43F1" w:rsidRDefault="00BD43F1">
      <w:pPr>
        <w:pStyle w:val="ConsPlusNormal"/>
        <w:jc w:val="right"/>
      </w:pPr>
      <w:r>
        <w:t>И.о. руководителя</w:t>
      </w:r>
    </w:p>
    <w:p w:rsidR="00BD43F1" w:rsidRDefault="00BD43F1">
      <w:pPr>
        <w:pStyle w:val="ConsPlusNormal"/>
        <w:jc w:val="right"/>
      </w:pPr>
      <w:r>
        <w:t>Федерального казначейства</w:t>
      </w:r>
    </w:p>
    <w:p w:rsidR="00BD43F1" w:rsidRDefault="00BD43F1">
      <w:pPr>
        <w:pStyle w:val="ConsPlusNormal"/>
        <w:jc w:val="right"/>
      </w:pPr>
      <w:r>
        <w:t>С.Е.ПРОКОФЬЕВ</w:t>
      </w:r>
    </w:p>
    <w:p w:rsidR="00BD43F1" w:rsidRDefault="00BD43F1">
      <w:pPr>
        <w:pStyle w:val="ConsPlusNormal"/>
        <w:jc w:val="both"/>
      </w:pPr>
    </w:p>
    <w:p w:rsidR="00BD43F1" w:rsidRDefault="00BD43F1">
      <w:pPr>
        <w:pStyle w:val="ConsPlusNormal"/>
        <w:jc w:val="both"/>
      </w:pPr>
    </w:p>
    <w:p w:rsidR="00BD43F1" w:rsidRDefault="00BD43F1">
      <w:pPr>
        <w:pStyle w:val="ConsPlusNormal"/>
        <w:jc w:val="both"/>
      </w:pPr>
    </w:p>
    <w:p w:rsidR="00BD43F1" w:rsidRDefault="00BD43F1">
      <w:pPr>
        <w:pStyle w:val="ConsPlusNormal"/>
        <w:jc w:val="both"/>
      </w:pPr>
    </w:p>
    <w:p w:rsidR="00BD43F1" w:rsidRDefault="00BD43F1">
      <w:pPr>
        <w:pStyle w:val="ConsPlusNormal"/>
        <w:jc w:val="both"/>
      </w:pPr>
    </w:p>
    <w:p w:rsidR="00BD43F1" w:rsidRDefault="00BD43F1">
      <w:pPr>
        <w:pStyle w:val="ConsPlusNormal"/>
        <w:jc w:val="right"/>
        <w:outlineLvl w:val="0"/>
      </w:pPr>
      <w:r>
        <w:t>Приложение</w:t>
      </w:r>
    </w:p>
    <w:p w:rsidR="00BD43F1" w:rsidRDefault="00BD43F1">
      <w:pPr>
        <w:pStyle w:val="ConsPlusNormal"/>
        <w:jc w:val="both"/>
      </w:pPr>
    </w:p>
    <w:p w:rsidR="00BD43F1" w:rsidRDefault="00BD43F1">
      <w:pPr>
        <w:pStyle w:val="ConsPlusTitle"/>
        <w:jc w:val="center"/>
      </w:pPr>
      <w:r>
        <w:t>МИНИСТЕРСТВО ФИНАНСОВ РОССИЙСКОЙ ФЕДЕРАЦИИ</w:t>
      </w:r>
    </w:p>
    <w:p w:rsidR="00BD43F1" w:rsidRDefault="00BD43F1">
      <w:pPr>
        <w:pStyle w:val="ConsPlusTitle"/>
        <w:jc w:val="both"/>
      </w:pPr>
    </w:p>
    <w:p w:rsidR="00BD43F1" w:rsidRDefault="00BD43F1">
      <w:pPr>
        <w:pStyle w:val="ConsPlusTitle"/>
        <w:jc w:val="center"/>
      </w:pPr>
      <w:bookmarkStart w:id="0" w:name="P25"/>
      <w:bookmarkEnd w:id="0"/>
      <w:r>
        <w:t>ПИСЬМО</w:t>
      </w:r>
    </w:p>
    <w:p w:rsidR="00BD43F1" w:rsidRDefault="00BD43F1">
      <w:pPr>
        <w:pStyle w:val="ConsPlusTitle"/>
        <w:jc w:val="center"/>
      </w:pPr>
      <w:r>
        <w:t>от 20 апреля 2018 г. N 09-01-07/26934</w:t>
      </w:r>
    </w:p>
    <w:p w:rsidR="00BD43F1" w:rsidRDefault="00BD43F1">
      <w:pPr>
        <w:pStyle w:val="ConsPlusNormal"/>
        <w:jc w:val="both"/>
      </w:pPr>
    </w:p>
    <w:p w:rsidR="00BD43F1" w:rsidRDefault="00BD43F1">
      <w:pPr>
        <w:pStyle w:val="ConsPlusNormal"/>
        <w:ind w:firstLine="540"/>
        <w:jc w:val="both"/>
      </w:pPr>
      <w:proofErr w:type="gramStart"/>
      <w:r>
        <w:t>Департамент правового регулирования бюджетных отношений Министерства финансов Российской Федерации (далее - Департамент) в соответствии с письмом Федерального казначейства от 27.03.2018 N 22-02-05/5069 рассмотрел обращение по вопросу осуществления закупки у единственного поставщика в рамках исполнения государственного оборонного заказа за наличный расчет через подотчетных лиц путем принятия денежных обязательств, и в пределах компетенции сообщает следующее.</w:t>
      </w:r>
      <w:proofErr w:type="gramEnd"/>
    </w:p>
    <w:p w:rsidR="00BD43F1" w:rsidRDefault="00BD43F1">
      <w:pPr>
        <w:pStyle w:val="ConsPlusNormal"/>
        <w:spacing w:before="220"/>
        <w:ind w:firstLine="540"/>
        <w:jc w:val="both"/>
      </w:pPr>
      <w:r>
        <w:t xml:space="preserve">В соответствии с </w:t>
      </w:r>
      <w:hyperlink r:id="rId6" w:history="1">
        <w:r>
          <w:rPr>
            <w:color w:val="0000FF"/>
          </w:rPr>
          <w:t>Положением</w:t>
        </w:r>
      </w:hyperlink>
      <w:r>
        <w:t xml:space="preserve"> о Министерстве финансов Российской Федерации, утвержденным постановлением Правительства Российской Федерации от 30.06.2004 N 329, Минфину России не предоставлено право </w:t>
      </w:r>
      <w:proofErr w:type="gramStart"/>
      <w:r>
        <w:t>давать</w:t>
      </w:r>
      <w:proofErr w:type="gramEnd"/>
      <w:r>
        <w:t xml:space="preserve"> разъяснения законодательства Российской Федерации и практики его применения, а также осуществлять толкование законодательных норм, терминов и понятий.</w:t>
      </w:r>
    </w:p>
    <w:p w:rsidR="00BD43F1" w:rsidRDefault="00BD43F1">
      <w:pPr>
        <w:pStyle w:val="ConsPlusNormal"/>
        <w:spacing w:before="220"/>
        <w:ind w:firstLine="540"/>
        <w:jc w:val="both"/>
      </w:pPr>
      <w:r>
        <w:t>Вместе с тем полагаем возможным высказать мнение Департамента по поставленным в указанном письме вопросам.</w:t>
      </w:r>
    </w:p>
    <w:p w:rsidR="00BD43F1" w:rsidRDefault="00BD43F1">
      <w:pPr>
        <w:pStyle w:val="ConsPlusNormal"/>
        <w:spacing w:before="220"/>
        <w:ind w:firstLine="540"/>
        <w:jc w:val="both"/>
      </w:pPr>
      <w:proofErr w:type="gramStart"/>
      <w:r>
        <w:t xml:space="preserve">В соответствии с положениями </w:t>
      </w:r>
      <w:hyperlink r:id="rId7" w:history="1">
        <w:r>
          <w:rPr>
            <w:color w:val="0000FF"/>
          </w:rPr>
          <w:t>пункта 15 статьи 34</w:t>
        </w:r>
      </w:hyperlink>
      <w:r>
        <w:t xml:space="preserve"> Федерального закона от 05.04.2013 N 44-ФЗ "О контрактной системе в сфере закупок товаров, работ, услуг для обеспечения государственных и муниципальных нужд" при заключении контракта в случаях, предусмотренных </w:t>
      </w:r>
      <w:hyperlink r:id="rId8" w:history="1">
        <w:r>
          <w:rPr>
            <w:color w:val="0000FF"/>
          </w:rPr>
          <w:t>пунктами 4</w:t>
        </w:r>
      </w:hyperlink>
      <w:r>
        <w:t xml:space="preserve"> и </w:t>
      </w:r>
      <w:hyperlink r:id="rId9" w:history="1">
        <w:r>
          <w:rPr>
            <w:color w:val="0000FF"/>
          </w:rPr>
          <w:t>5 части 1 статьи 93</w:t>
        </w:r>
      </w:hyperlink>
      <w:r>
        <w:t xml:space="preserve"> указанного федерального закона, контракт может быть заключен в любой форме, предусмотренной Гражданским кодексом Российской Федерации для </w:t>
      </w:r>
      <w:r>
        <w:lastRenderedPageBreak/>
        <w:t>совершения</w:t>
      </w:r>
      <w:proofErr w:type="gramEnd"/>
      <w:r>
        <w:t xml:space="preserve"> сделок.</w:t>
      </w:r>
    </w:p>
    <w:p w:rsidR="00BD43F1" w:rsidRDefault="00BD43F1">
      <w:pPr>
        <w:pStyle w:val="ConsPlusNormal"/>
        <w:spacing w:before="220"/>
        <w:ind w:firstLine="540"/>
        <w:jc w:val="both"/>
      </w:pPr>
      <w:r>
        <w:t>Оплата заказчиками обязательств, связанных с указанной закупкой товаров, работ и услуг, может осуществляться в наличной форме, в том числе путем выдачи работникам подотчетных сумм на закупку товаров, работ и услуг с учетом предельного размера расчетов наличными деньгами в Российской Федерации между юридическими лицами по одной сделке.</w:t>
      </w:r>
    </w:p>
    <w:p w:rsidR="00BD43F1" w:rsidRDefault="00BD43F1">
      <w:pPr>
        <w:pStyle w:val="ConsPlusNormal"/>
        <w:spacing w:before="220"/>
        <w:ind w:firstLine="540"/>
        <w:jc w:val="both"/>
      </w:pPr>
      <w:proofErr w:type="gramStart"/>
      <w:r>
        <w:t xml:space="preserve">Заказчики, лицевые счета которым открыты в территориальных органах Федерального казначейства, по мнению Департамента, осуществляют операции по оплате таких закупок в соответствии с </w:t>
      </w:r>
      <w:hyperlink r:id="rId10" w:history="1">
        <w:r>
          <w:rPr>
            <w:color w:val="0000FF"/>
          </w:rPr>
          <w:t>Правилами</w:t>
        </w:r>
      </w:hyperlink>
      <w:r>
        <w:t xml:space="preserve"> обеспечения наличными денежными средствами организаций, лицевые счета которым открыты в территориальных органах Федерального казначейства, финансовых органах субъектов Российской Федерации (муниципальных образований), утвержденными приказом Казначейства России от 30.06.2014 N 10н.</w:t>
      </w:r>
      <w:proofErr w:type="gramEnd"/>
    </w:p>
    <w:p w:rsidR="00BD43F1" w:rsidRDefault="00BD43F1">
      <w:pPr>
        <w:pStyle w:val="ConsPlusNormal"/>
        <w:jc w:val="both"/>
      </w:pPr>
    </w:p>
    <w:p w:rsidR="00BD43F1" w:rsidRDefault="00BD43F1">
      <w:pPr>
        <w:pStyle w:val="ConsPlusNormal"/>
        <w:jc w:val="right"/>
      </w:pPr>
      <w:r>
        <w:t>Директор Департамента</w:t>
      </w:r>
    </w:p>
    <w:p w:rsidR="00BD43F1" w:rsidRDefault="00BD43F1">
      <w:pPr>
        <w:pStyle w:val="ConsPlusNormal"/>
        <w:jc w:val="right"/>
      </w:pPr>
      <w:r>
        <w:t>Т.В.СААКЯН</w:t>
      </w:r>
    </w:p>
    <w:p w:rsidR="00BD43F1" w:rsidRDefault="00BD43F1">
      <w:pPr>
        <w:pStyle w:val="ConsPlusNormal"/>
        <w:jc w:val="both"/>
      </w:pPr>
    </w:p>
    <w:p w:rsidR="00BD43F1" w:rsidRDefault="00BD43F1">
      <w:pPr>
        <w:pStyle w:val="ConsPlusNormal"/>
        <w:jc w:val="both"/>
      </w:pPr>
    </w:p>
    <w:p w:rsidR="00BD43F1" w:rsidRDefault="00BD43F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82D7B" w:rsidRDefault="00882D7B">
      <w:bookmarkStart w:id="1" w:name="_GoBack"/>
      <w:bookmarkEnd w:id="1"/>
    </w:p>
    <w:sectPr w:rsidR="00882D7B" w:rsidSect="00FA08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3F1"/>
    <w:rsid w:val="00882D7B"/>
    <w:rsid w:val="00BD4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D43F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D43F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D43F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D43F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D43F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D43F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683ED685E38CF19C7C512DAC7751A2DB77BFCA47D9BA8A25C42F74DFD6F97866150982FFCYDu5L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683ED685E38CF19C7C512DAC7751A2DB77BFCA47D9BA8A25C42F74DFD6F97866150982EF7YDuFL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683ED685E38CF19C7C512DAC7751A2DB770F4A2759AA8A25C42F74DFD6F97866150982CF5DD02AFYBu9L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consultant.ru" TargetMode="External"/><Relationship Id="rId10" Type="http://schemas.openxmlformats.org/officeDocument/2006/relationships/hyperlink" Target="consultantplus://offline/ref=9683ED685E38CF19C7C512DAC7751A2DB770FCA97095A8A25C42F74DFD6F97866150982CF5DD02AFYBuD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683ED685E38CF19C7C512DAC7751A2DB77BFCA47D9BA8A25C42F74DFD6F97866150982EF4YDu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546</Words>
  <Characters>3115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Борисовна Старковская</dc:creator>
  <cp:lastModifiedBy>Надежда Борисовна Старковская</cp:lastModifiedBy>
  <cp:revision>1</cp:revision>
  <dcterms:created xsi:type="dcterms:W3CDTF">2018-06-22T11:46:00Z</dcterms:created>
  <dcterms:modified xsi:type="dcterms:W3CDTF">2018-06-22T11:46:00Z</dcterms:modified>
</cp:coreProperties>
</file>