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8F" w:rsidRDefault="00BD57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578F" w:rsidRDefault="00BD578F">
      <w:pPr>
        <w:pStyle w:val="ConsPlusNormal"/>
        <w:jc w:val="both"/>
        <w:outlineLvl w:val="0"/>
      </w:pPr>
    </w:p>
    <w:p w:rsidR="00BD578F" w:rsidRDefault="00BD578F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BD578F" w:rsidRDefault="00BD578F">
      <w:pPr>
        <w:pStyle w:val="ConsPlusTitle"/>
        <w:jc w:val="center"/>
      </w:pPr>
    </w:p>
    <w:p w:rsidR="00BD578F" w:rsidRDefault="00BD578F">
      <w:pPr>
        <w:pStyle w:val="ConsPlusTitle"/>
        <w:jc w:val="center"/>
      </w:pPr>
      <w:r>
        <w:t>ПИСЬМО</w:t>
      </w:r>
    </w:p>
    <w:p w:rsidR="00BD578F" w:rsidRDefault="00BD578F">
      <w:pPr>
        <w:pStyle w:val="ConsPlusTitle"/>
        <w:jc w:val="center"/>
      </w:pPr>
      <w:r>
        <w:t>от 23 октября 2018 г. N 21-02-04/</w:t>
      </w:r>
      <w:bookmarkStart w:id="0" w:name="_GoBack"/>
      <w:r>
        <w:t>75903</w:t>
      </w:r>
      <w:bookmarkEnd w:id="0"/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Правил формирования, утверждения и ведения плана закупок товаров, работ, услуг для обеспечения федеральных нужд, утвержденных постановлением Правительства Российской Федерации от 5 июня 2015 г. N 552 (далее - план закупок), планы закупок утверждаются в течение 10 рабочих дней следующими заказчиками: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федеральными государственными бюджетными учреждениями, за исключением закупок, осуществляемых в соответствии с </w:t>
      </w:r>
      <w:hyperlink r:id="rId7" w:history="1">
        <w:r>
          <w:rPr>
            <w:color w:val="0000FF"/>
          </w:rPr>
          <w:t>частями 2</w:t>
        </w:r>
      </w:hyperlink>
      <w:r>
        <w:t xml:space="preserve"> и </w:t>
      </w:r>
      <w:hyperlink r:id="rId8" w:history="1">
        <w:r>
          <w:rPr>
            <w:color w:val="0000FF"/>
          </w:rPr>
          <w:t>6 статьи 15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 - после утверждения планов финансово-хозяйственной деятельности;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федеральными государственными автономными учреждениями в случае, предусмотренном </w:t>
      </w:r>
      <w:hyperlink r:id="rId9" w:history="1">
        <w:r>
          <w:rPr>
            <w:color w:val="0000FF"/>
          </w:rPr>
          <w:t>частью 4 статьи 15</w:t>
        </w:r>
      </w:hyperlink>
      <w: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(далее - субсидии). При этом в план закупок включаются только закупки, которые планируется осуществлять за счет субсидий.</w:t>
      </w:r>
    </w:p>
    <w:p w:rsidR="00BD578F" w:rsidRDefault="00BD578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4</w:t>
        </w:r>
      </w:hyperlink>
      <w:r>
        <w:t xml:space="preserve">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 октября 2015 года N 1168 (далее - соответственно Правила размещения планов закупок, планов-графиков, ЕИС), размещение в ЕИС планов</w:t>
      </w:r>
      <w:proofErr w:type="gramEnd"/>
      <w:r>
        <w:t xml:space="preserve"> закупок осуществляется в течение 3 рабочих дней со дня утверждения или изменения таких планов, за исключением сведений, составляющих государственную тайну.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6</w:t>
        </w:r>
      </w:hyperlink>
      <w:r>
        <w:t xml:space="preserve"> Правил размещения планов закупок, планов-графиков размещение в ЕИС планов закупок вышеуказанными заказчиками осуществляется посредством информационного взаимодействия ЕИС с государственной интегрированной информационной системой управления общественными финансами "Электронный бюджет" (далее - система "Электронный бюджет").</w:t>
      </w:r>
    </w:p>
    <w:p w:rsidR="00BD578F" w:rsidRDefault="00BD578F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 и утверждение планов закупок на 2019 финансовый год и плановый период 2020 - 2021 гг. федеральными государственными бюджетными учреждениями и федеральными государственными автономными учреждениями в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случаях осуществляется в модуле формирования и ведения планов закупок товаров, работ, и услуг для обеспечения государственных и муниципальных нужд подсистемы управления закупками системы "Электронный бюджет", оператором которой является Министерство финансов Российской Федерации.</w:t>
      </w:r>
      <w:proofErr w:type="gramEnd"/>
    </w:p>
    <w:p w:rsidR="00BD578F" w:rsidRDefault="00BD578F">
      <w:pPr>
        <w:pStyle w:val="ConsPlusNormal"/>
        <w:spacing w:before="220"/>
        <w:ind w:firstLine="540"/>
        <w:jc w:val="both"/>
      </w:pPr>
      <w:r>
        <w:t>Размещение планов закупок на 2019 финансовый год и плановый период 2020 - 2021 гг. вышеуказанными заказчиками путем заполнения экранных форм в личном кабинете ЕИС или посредством информационного взаимодействия ЕИС с иными информационными системами в сфере закупок (за исключением системы "Электронный бюджет") будет прекращено.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Обращаем внимание, в случае если в личном кабинете ЕИС ранее был сформирован проект </w:t>
      </w:r>
      <w:r>
        <w:lastRenderedPageBreak/>
        <w:t>плана закупок на 2019 финансовый год и плановый период 2020 - 2021 гг., необходимо перевести указанный проект плана закупок в архив. После совершения указанного действия будет доступно получение из системы "Электронный бюджет" в ЕИС плана закупок для его последующего размещения в открытой части ЕИС.</w:t>
      </w:r>
    </w:p>
    <w:p w:rsidR="00BD578F" w:rsidRDefault="00BD578F">
      <w:pPr>
        <w:pStyle w:val="ConsPlusNormal"/>
        <w:spacing w:before="220"/>
        <w:ind w:firstLine="540"/>
        <w:jc w:val="both"/>
      </w:pPr>
      <w:proofErr w:type="gramStart"/>
      <w:r>
        <w:t>Если в открытой части ЕИС размещен сформированный в личном кабинете ЕИС план закупок на 2019 финансовый год и плановый период 2020 - 2021 гг. - в этом случае необходимо сформировать в системе "Электронный бюджет" план закупок, аналогичный последней размещенной версии плана закупок в ЕИС в соответствии с инструкцией, размещенной на официальном сайте Минфина России в информационно-телекоммуникационной сети "Интернет" в разделе "Информационные системы</w:t>
      </w:r>
      <w:proofErr w:type="gramEnd"/>
      <w:r>
        <w:t xml:space="preserve"> Минфина России/Подсистема управления закупками системы "Электронный бюджет"/Формирование и утверждение планов закупок".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Обращаем внимание, что порядок формирования и размещения планов-графиков закупок осуществляется без изменений и выполняется в личном кабинете ЕИС.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Полномочия по формированию, утверждению планов закупок в системе "Электронный бюджет" будут автоматически предоставлены участникам системы "Электронный бюджет", ранее уполномоченным на формирование и ведение планов финансово-хозяйственной деятельности.</w:t>
      </w:r>
    </w:p>
    <w:p w:rsidR="00BD578F" w:rsidRDefault="00BD578F">
      <w:pPr>
        <w:pStyle w:val="ConsPlusNormal"/>
        <w:spacing w:before="220"/>
        <w:ind w:firstLine="540"/>
        <w:jc w:val="both"/>
      </w:pPr>
      <w:proofErr w:type="gramStart"/>
      <w:r>
        <w:t xml:space="preserve">В случае возникновения потребности в регистрации иных работников заказчиков в целях формирования и утверждения планов закупок, она осуществляется на основании заявок на регистрацию, направляемых работниками заказчиков, которые наделены полномочиями на формирование заявок на регистрацию уполномоченных лиц участника системы "Электронный бюджет" (далее - полномочия регистратора), в форме электронного документа в системе "Электронный бюджет" (далее - электронная заявка) согласно </w:t>
      </w:r>
      <w:hyperlink w:anchor="P34" w:history="1">
        <w:r>
          <w:rPr>
            <w:color w:val="0000FF"/>
          </w:rPr>
          <w:t>приложению N 1</w:t>
        </w:r>
      </w:hyperlink>
      <w:r>
        <w:t xml:space="preserve"> к настоящему</w:t>
      </w:r>
      <w:proofErr w:type="gramEnd"/>
      <w:r>
        <w:t xml:space="preserve"> письму с указанием полномочий согласно </w:t>
      </w:r>
      <w:hyperlink w:anchor="P97" w:history="1">
        <w:r>
          <w:rPr>
            <w:color w:val="0000FF"/>
          </w:rPr>
          <w:t>приложению N 2</w:t>
        </w:r>
      </w:hyperlink>
      <w:r>
        <w:t xml:space="preserve"> к настоящему письму.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В случае наделения работника заказчика, не замещающего должность руководителя (заместителя руководителя), ролью "Утверждение", к электронным заявкам необходимо приложить организационно-распорядительный документ, подтверждающий права работника действовать от имени заказчика главного распорядителя.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Инструкция по настройке автоматизированных рабочих мест размещена на официальном сайте Минфина России в информационно-телекоммуникационной сети "Интернет" в разделе "Деятельность/Электронный бюджет/Подключение к системе "Электронный бюджет"/Федеральный уровень/Порядок подключения".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Руководство пользователя по формированию и утверждению планов закупок будет размещено на официальном сайте Минфина России в информационно-телекоммуникационной сети "Интернет" в разделе "Информационные системы Минфина России/Подсистема управления закупками системы "Электронный бюджет"/Формирование и утверждение планов закупок" в срок до 19 ноября 2018 года.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При возникновении вопросов, связанных с функционированием системы "Электронный бюджет", необходимо обращаться в службу поддержки по телефону 8 800 250-12-17 или формировать заявки в разделе "Техническая поддержка/Обращения в техническую поддержку" системы "Электронный бюджет".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Вместе с тем сообщаем о проведении в формате вебинара </w:t>
      </w:r>
      <w:proofErr w:type="gramStart"/>
      <w:r>
        <w:t>обучения по работе</w:t>
      </w:r>
      <w:proofErr w:type="gramEnd"/>
      <w:r>
        <w:t xml:space="preserve"> в системе "Электронный бюджет" в части формирования и утверждения планов закупок в период с 19 по 21 ноября 2018 г. с 10:00 до 12:00 по московскому времени.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 xml:space="preserve">Для участия в вебинаре необходимо пройти регистрацию на официальном сайте Минфина России в информационно-телекоммуникационной сети "Интернет" в разделе "Деятельность/Электронный бюджет/Регистрация на вебинары". Регистрация на вебинар будет </w:t>
      </w:r>
      <w:r>
        <w:lastRenderedPageBreak/>
        <w:t>открыта с 10:00 по московскому времени 15 ноября 2018 года.</w:t>
      </w:r>
    </w:p>
    <w:p w:rsidR="00BD578F" w:rsidRDefault="00BD578F">
      <w:pPr>
        <w:pStyle w:val="ConsPlusNormal"/>
        <w:spacing w:before="220"/>
        <w:ind w:firstLine="540"/>
        <w:jc w:val="both"/>
      </w:pPr>
      <w:r>
        <w:t>При возникновении организационных вопросов, связанных с обучением, необходимо обращаться к ответственному работнику Министерства финансов Российской Федерации по электронной почте Sanal.Sanzhiev@minfin.ru.</w:t>
      </w: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right"/>
      </w:pPr>
      <w:r>
        <w:t>Т.Г.НЕСТЕРЕНКО</w:t>
      </w: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right"/>
        <w:outlineLvl w:val="0"/>
      </w:pPr>
      <w:r>
        <w:t>Приложение N 1</w:t>
      </w: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nformat"/>
        <w:jc w:val="both"/>
      </w:pPr>
      <w:bookmarkStart w:id="1" w:name="P34"/>
      <w:bookmarkEnd w:id="1"/>
      <w:r>
        <w:t xml:space="preserve">                                  ЗАЯВКА</w:t>
      </w:r>
    </w:p>
    <w:p w:rsidR="00BD578F" w:rsidRDefault="00BD578F">
      <w:pPr>
        <w:pStyle w:val="ConsPlusNonformat"/>
        <w:jc w:val="both"/>
      </w:pPr>
      <w:r>
        <w:t xml:space="preserve">             на подключение к </w:t>
      </w:r>
      <w:proofErr w:type="gramStart"/>
      <w:r>
        <w:t>государственной</w:t>
      </w:r>
      <w:proofErr w:type="gramEnd"/>
      <w:r>
        <w:t xml:space="preserve"> интегрированной</w:t>
      </w:r>
    </w:p>
    <w:p w:rsidR="00BD578F" w:rsidRDefault="00BD578F">
      <w:pPr>
        <w:pStyle w:val="ConsPlusNonformat"/>
        <w:jc w:val="both"/>
      </w:pPr>
      <w:r>
        <w:t xml:space="preserve">         информационной системе управления общественными финансами</w:t>
      </w:r>
    </w:p>
    <w:p w:rsidR="00BD578F" w:rsidRDefault="00BD578F">
      <w:pPr>
        <w:pStyle w:val="ConsPlusNonformat"/>
        <w:jc w:val="both"/>
      </w:pPr>
      <w:r>
        <w:t xml:space="preserve">                           "Электронный бюджет"</w:t>
      </w:r>
    </w:p>
    <w:p w:rsidR="00BD578F" w:rsidRDefault="00BD5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231"/>
        <w:gridCol w:w="1643"/>
        <w:gridCol w:w="1190"/>
      </w:tblGrid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Наименование ГРБС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Подразделение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Должность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ФИО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СНИЛС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231" w:type="dxa"/>
          </w:tcPr>
          <w:p w:rsidR="00BD578F" w:rsidRDefault="00BD578F">
            <w:pPr>
              <w:pStyle w:val="ConsPlusNormal"/>
              <w:jc w:val="center"/>
            </w:pPr>
            <w:r>
              <w:t>+7(___)_____-____-____</w:t>
            </w:r>
          </w:p>
        </w:tc>
        <w:tc>
          <w:tcPr>
            <w:tcW w:w="1643" w:type="dxa"/>
          </w:tcPr>
          <w:p w:rsidR="00BD578F" w:rsidRDefault="00BD578F">
            <w:pPr>
              <w:pStyle w:val="ConsPlusNormal"/>
              <w:jc w:val="center"/>
            </w:pPr>
            <w:r>
              <w:t>+ доб. номер</w:t>
            </w:r>
          </w:p>
        </w:tc>
        <w:tc>
          <w:tcPr>
            <w:tcW w:w="1190" w:type="dxa"/>
          </w:tcPr>
          <w:p w:rsidR="00BD578F" w:rsidRDefault="00BD578F">
            <w:pPr>
              <w:pStyle w:val="ConsPlusNormal"/>
            </w:pPr>
          </w:p>
        </w:tc>
      </w:tr>
      <w:tr w:rsidR="00BD578F">
        <w:tc>
          <w:tcPr>
            <w:tcW w:w="3005" w:type="dxa"/>
          </w:tcPr>
          <w:p w:rsidR="00BD578F" w:rsidRDefault="00BD578F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6064" w:type="dxa"/>
            <w:gridSpan w:val="3"/>
          </w:tcPr>
          <w:p w:rsidR="00BD578F" w:rsidRDefault="00BD578F">
            <w:pPr>
              <w:pStyle w:val="ConsPlusNormal"/>
            </w:pPr>
          </w:p>
        </w:tc>
      </w:tr>
    </w:tbl>
    <w:p w:rsidR="00BD578F" w:rsidRDefault="00BD5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27"/>
        <w:gridCol w:w="1927"/>
        <w:gridCol w:w="1644"/>
        <w:gridCol w:w="1587"/>
      </w:tblGrid>
      <w:tr w:rsidR="00BD578F">
        <w:tc>
          <w:tcPr>
            <w:tcW w:w="9069" w:type="dxa"/>
            <w:gridSpan w:val="5"/>
          </w:tcPr>
          <w:p w:rsidR="00BD578F" w:rsidRDefault="00BD578F">
            <w:pPr>
              <w:pStyle w:val="ConsPlusNormal"/>
              <w:jc w:val="center"/>
            </w:pPr>
            <w:r>
              <w:t>Полномочия</w:t>
            </w:r>
          </w:p>
        </w:tc>
      </w:tr>
      <w:tr w:rsidR="00BD578F">
        <w:tc>
          <w:tcPr>
            <w:tcW w:w="9069" w:type="dxa"/>
            <w:gridSpan w:val="5"/>
          </w:tcPr>
          <w:p w:rsidR="00BD578F" w:rsidRDefault="00BD578F">
            <w:pPr>
              <w:pStyle w:val="ConsPlusNormal"/>
              <w:jc w:val="center"/>
            </w:pPr>
            <w:r>
              <w:t>&lt;Наименование полномочия&gt;</w:t>
            </w:r>
          </w:p>
        </w:tc>
      </w:tr>
      <w:tr w:rsidR="00BD578F">
        <w:tc>
          <w:tcPr>
            <w:tcW w:w="1984" w:type="dxa"/>
          </w:tcPr>
          <w:p w:rsidR="00BD578F" w:rsidRDefault="00BD578F">
            <w:pPr>
              <w:pStyle w:val="ConsPlusNormal"/>
              <w:jc w:val="center"/>
            </w:pPr>
            <w:r>
              <w:t>Ввод данных</w:t>
            </w:r>
          </w:p>
        </w:tc>
        <w:tc>
          <w:tcPr>
            <w:tcW w:w="1927" w:type="dxa"/>
          </w:tcPr>
          <w:p w:rsidR="00BD578F" w:rsidRDefault="00BD578F">
            <w:pPr>
              <w:pStyle w:val="ConsPlusNormal"/>
              <w:jc w:val="center"/>
            </w:pPr>
            <w:r>
              <w:t>Согласование</w:t>
            </w:r>
          </w:p>
        </w:tc>
        <w:tc>
          <w:tcPr>
            <w:tcW w:w="1927" w:type="dxa"/>
          </w:tcPr>
          <w:p w:rsidR="00BD578F" w:rsidRDefault="00BD578F">
            <w:pPr>
              <w:pStyle w:val="ConsPlusNormal"/>
              <w:jc w:val="center"/>
            </w:pPr>
            <w:r>
              <w:t>Подписание</w:t>
            </w:r>
          </w:p>
        </w:tc>
        <w:tc>
          <w:tcPr>
            <w:tcW w:w="1644" w:type="dxa"/>
          </w:tcPr>
          <w:p w:rsidR="00BD578F" w:rsidRDefault="00BD578F">
            <w:pPr>
              <w:pStyle w:val="ConsPlusNormal"/>
              <w:jc w:val="center"/>
            </w:pPr>
            <w:r>
              <w:t>Утверждение</w:t>
            </w:r>
          </w:p>
        </w:tc>
        <w:tc>
          <w:tcPr>
            <w:tcW w:w="1587" w:type="dxa"/>
          </w:tcPr>
          <w:p w:rsidR="00BD578F" w:rsidRDefault="00BD578F">
            <w:pPr>
              <w:pStyle w:val="ConsPlusNormal"/>
              <w:jc w:val="center"/>
            </w:pPr>
            <w:r>
              <w:t>Просмотр</w:t>
            </w:r>
          </w:p>
        </w:tc>
      </w:tr>
      <w:tr w:rsidR="00BD578F">
        <w:tc>
          <w:tcPr>
            <w:tcW w:w="1984" w:type="dxa"/>
          </w:tcPr>
          <w:p w:rsidR="00BD578F" w:rsidRDefault="00BD578F">
            <w:pPr>
              <w:pStyle w:val="ConsPlusNormal"/>
              <w:jc w:val="center"/>
            </w:pPr>
            <w:r>
              <w:t>Добавить</w:t>
            </w:r>
          </w:p>
        </w:tc>
        <w:tc>
          <w:tcPr>
            <w:tcW w:w="1927" w:type="dxa"/>
          </w:tcPr>
          <w:p w:rsidR="00BD578F" w:rsidRDefault="00BD578F">
            <w:pPr>
              <w:pStyle w:val="ConsPlusNormal"/>
              <w:jc w:val="center"/>
            </w:pPr>
            <w:r>
              <w:t>Добавить</w:t>
            </w:r>
          </w:p>
        </w:tc>
        <w:tc>
          <w:tcPr>
            <w:tcW w:w="1927" w:type="dxa"/>
          </w:tcPr>
          <w:p w:rsidR="00BD578F" w:rsidRDefault="00BD578F">
            <w:pPr>
              <w:pStyle w:val="ConsPlusNormal"/>
              <w:jc w:val="center"/>
            </w:pPr>
            <w:r>
              <w:t>Добавить</w:t>
            </w:r>
          </w:p>
        </w:tc>
        <w:tc>
          <w:tcPr>
            <w:tcW w:w="1644" w:type="dxa"/>
          </w:tcPr>
          <w:p w:rsidR="00BD578F" w:rsidRDefault="00BD578F">
            <w:pPr>
              <w:pStyle w:val="ConsPlusNormal"/>
              <w:jc w:val="center"/>
            </w:pPr>
            <w:r>
              <w:t>Добавить</w:t>
            </w:r>
          </w:p>
        </w:tc>
        <w:tc>
          <w:tcPr>
            <w:tcW w:w="1587" w:type="dxa"/>
          </w:tcPr>
          <w:p w:rsidR="00BD578F" w:rsidRDefault="00BD578F">
            <w:pPr>
              <w:pStyle w:val="ConsPlusNormal"/>
              <w:jc w:val="center"/>
            </w:pPr>
            <w:r>
              <w:t>Добавить</w:t>
            </w:r>
          </w:p>
        </w:tc>
      </w:tr>
      <w:tr w:rsidR="00BD578F">
        <w:tc>
          <w:tcPr>
            <w:tcW w:w="9069" w:type="dxa"/>
            <w:gridSpan w:val="5"/>
          </w:tcPr>
          <w:p w:rsidR="00BD578F" w:rsidRDefault="00BD578F">
            <w:pPr>
              <w:pStyle w:val="ConsPlusNormal"/>
              <w:jc w:val="center"/>
            </w:pPr>
            <w:r>
              <w:t>Ограничение на полномочие</w:t>
            </w:r>
          </w:p>
        </w:tc>
      </w:tr>
      <w:tr w:rsidR="00BD578F">
        <w:tc>
          <w:tcPr>
            <w:tcW w:w="1984" w:type="dxa"/>
          </w:tcPr>
          <w:p w:rsidR="00BD578F" w:rsidRDefault="00BD578F">
            <w:pPr>
              <w:pStyle w:val="ConsPlusNormal"/>
            </w:pPr>
          </w:p>
        </w:tc>
        <w:tc>
          <w:tcPr>
            <w:tcW w:w="1927" w:type="dxa"/>
          </w:tcPr>
          <w:p w:rsidR="00BD578F" w:rsidRDefault="00BD578F">
            <w:pPr>
              <w:pStyle w:val="ConsPlusNormal"/>
            </w:pPr>
          </w:p>
        </w:tc>
        <w:tc>
          <w:tcPr>
            <w:tcW w:w="1927" w:type="dxa"/>
          </w:tcPr>
          <w:p w:rsidR="00BD578F" w:rsidRDefault="00BD578F">
            <w:pPr>
              <w:pStyle w:val="ConsPlusNormal"/>
            </w:pPr>
          </w:p>
        </w:tc>
        <w:tc>
          <w:tcPr>
            <w:tcW w:w="1644" w:type="dxa"/>
          </w:tcPr>
          <w:p w:rsidR="00BD578F" w:rsidRDefault="00BD578F">
            <w:pPr>
              <w:pStyle w:val="ConsPlusNormal"/>
            </w:pPr>
          </w:p>
        </w:tc>
        <w:tc>
          <w:tcPr>
            <w:tcW w:w="1587" w:type="dxa"/>
          </w:tcPr>
          <w:p w:rsidR="00BD578F" w:rsidRDefault="00BD578F">
            <w:pPr>
              <w:pStyle w:val="ConsPlusNormal"/>
            </w:pPr>
          </w:p>
        </w:tc>
      </w:tr>
    </w:tbl>
    <w:p w:rsidR="00BD578F" w:rsidRDefault="00BD578F">
      <w:pPr>
        <w:pStyle w:val="ConsPlusNormal"/>
        <w:jc w:val="both"/>
      </w:pPr>
    </w:p>
    <w:p w:rsidR="00BD578F" w:rsidRDefault="00BD578F">
      <w:pPr>
        <w:pStyle w:val="ConsPlusNonformat"/>
        <w:jc w:val="both"/>
      </w:pPr>
      <w:r>
        <w:t>Сотрудник</w:t>
      </w:r>
    </w:p>
    <w:p w:rsidR="00BD578F" w:rsidRDefault="00BD578F">
      <w:pPr>
        <w:pStyle w:val="ConsPlusNonformat"/>
        <w:jc w:val="both"/>
      </w:pPr>
      <w:r>
        <w:lastRenderedPageBreak/>
        <w:t>организации</w:t>
      </w:r>
    </w:p>
    <w:p w:rsidR="00BD578F" w:rsidRDefault="00BD578F">
      <w:pPr>
        <w:pStyle w:val="ConsPlusNonformat"/>
        <w:jc w:val="both"/>
      </w:pPr>
      <w:r>
        <w:t>(пользователь)            ___________      _______________________</w:t>
      </w:r>
    </w:p>
    <w:p w:rsidR="00BD578F" w:rsidRDefault="00BD578F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BD578F" w:rsidRDefault="00BD578F">
      <w:pPr>
        <w:pStyle w:val="ConsPlusNonformat"/>
        <w:jc w:val="both"/>
      </w:pPr>
    </w:p>
    <w:p w:rsidR="00BD578F" w:rsidRDefault="00BD578F">
      <w:pPr>
        <w:pStyle w:val="ConsPlusNonformat"/>
        <w:jc w:val="both"/>
      </w:pPr>
      <w:r>
        <w:t>Руководитель организации</w:t>
      </w:r>
    </w:p>
    <w:p w:rsidR="00BD578F" w:rsidRDefault="00BD578F">
      <w:pPr>
        <w:pStyle w:val="ConsPlusNonformat"/>
        <w:jc w:val="both"/>
      </w:pPr>
      <w:r>
        <w:t>/Уполномоченное лицо</w:t>
      </w:r>
    </w:p>
    <w:p w:rsidR="00BD578F" w:rsidRDefault="00BD578F">
      <w:pPr>
        <w:pStyle w:val="ConsPlusNonformat"/>
        <w:jc w:val="both"/>
      </w:pPr>
      <w:r>
        <w:t>организации               ___________      _______________________</w:t>
      </w:r>
    </w:p>
    <w:p w:rsidR="00BD578F" w:rsidRDefault="00BD578F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BD578F" w:rsidRDefault="00BD578F">
      <w:pPr>
        <w:pStyle w:val="ConsPlusNonformat"/>
        <w:jc w:val="both"/>
      </w:pPr>
    </w:p>
    <w:p w:rsidR="00BD578F" w:rsidRDefault="00BD578F">
      <w:pPr>
        <w:pStyle w:val="ConsPlusNonformat"/>
        <w:jc w:val="both"/>
      </w:pPr>
      <w:r>
        <w:t xml:space="preserve">                             М.П.</w:t>
      </w: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right"/>
        <w:outlineLvl w:val="0"/>
      </w:pPr>
      <w:r>
        <w:t>Приложение N 2</w:t>
      </w: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Title"/>
        <w:jc w:val="center"/>
      </w:pPr>
      <w:bookmarkStart w:id="2" w:name="P97"/>
      <w:bookmarkEnd w:id="2"/>
      <w:r>
        <w:t>ПЕРЕЧЕНЬ</w:t>
      </w:r>
    </w:p>
    <w:p w:rsidR="00BD578F" w:rsidRDefault="00BD578F">
      <w:pPr>
        <w:pStyle w:val="ConsPlusTitle"/>
        <w:jc w:val="center"/>
      </w:pPr>
      <w:r>
        <w:t xml:space="preserve">ПОЛНОМОЧИЙ УПОЛНОМОЧЕННЫХ ЛИЦ УЧАСТНИКОВ </w:t>
      </w:r>
      <w:proofErr w:type="gramStart"/>
      <w:r>
        <w:t>БЮДЖЕТНОГО</w:t>
      </w:r>
      <w:proofErr w:type="gramEnd"/>
    </w:p>
    <w:p w:rsidR="00BD578F" w:rsidRDefault="00BD578F">
      <w:pPr>
        <w:pStyle w:val="ConsPlusTitle"/>
        <w:jc w:val="center"/>
      </w:pPr>
      <w:r>
        <w:t xml:space="preserve">ПРОЦЕССА РОССИЙСКОЙ ФЕДЕРАЦИИ </w:t>
      </w:r>
      <w:proofErr w:type="gramStart"/>
      <w:r>
        <w:t>В</w:t>
      </w:r>
      <w:proofErr w:type="gramEnd"/>
      <w:r>
        <w:t xml:space="preserve"> ГОСУДАРСТВЕННОЙ</w:t>
      </w:r>
    </w:p>
    <w:p w:rsidR="00BD578F" w:rsidRDefault="00BD578F">
      <w:pPr>
        <w:pStyle w:val="ConsPlusTitle"/>
        <w:jc w:val="center"/>
      </w:pPr>
      <w:r>
        <w:t>ИНТЕГРИРОВАННОЙ ИНФОРМАЦИОННОЙ СИСТЕМЕ УПРАВЛЕНИЯ</w:t>
      </w:r>
    </w:p>
    <w:p w:rsidR="00BD578F" w:rsidRDefault="00BD578F">
      <w:pPr>
        <w:pStyle w:val="ConsPlusTitle"/>
        <w:jc w:val="center"/>
      </w:pPr>
      <w:r>
        <w:t>ОБЩЕСТВЕННЫМИ ФИНАНСАМИ "ЭЛЕКТРОННЫЙ БЮДЖЕТ"</w:t>
      </w:r>
    </w:p>
    <w:p w:rsidR="00BD578F" w:rsidRDefault="00BD5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644"/>
        <w:gridCol w:w="1644"/>
        <w:gridCol w:w="1869"/>
        <w:gridCol w:w="1757"/>
      </w:tblGrid>
      <w:tr w:rsidR="00BD578F">
        <w:tc>
          <w:tcPr>
            <w:tcW w:w="9068" w:type="dxa"/>
            <w:gridSpan w:val="5"/>
          </w:tcPr>
          <w:p w:rsidR="00BD578F" w:rsidRDefault="00BD578F">
            <w:pPr>
              <w:pStyle w:val="ConsPlusNormal"/>
              <w:jc w:val="center"/>
              <w:outlineLvl w:val="1"/>
            </w:pPr>
            <w:r>
              <w:t>Полномочия заказчиков</w:t>
            </w:r>
          </w:p>
        </w:tc>
      </w:tr>
      <w:tr w:rsidR="00BD578F">
        <w:tc>
          <w:tcPr>
            <w:tcW w:w="9068" w:type="dxa"/>
            <w:gridSpan w:val="5"/>
          </w:tcPr>
          <w:p w:rsidR="00BD578F" w:rsidRDefault="00BD578F">
            <w:pPr>
              <w:pStyle w:val="ConsPlusNormal"/>
              <w:jc w:val="center"/>
              <w:outlineLvl w:val="2"/>
            </w:pPr>
            <w:r>
              <w:t>Направление заявки на регистрацию уполномоченных лиц участника системы</w:t>
            </w:r>
          </w:p>
        </w:tc>
      </w:tr>
      <w:tr w:rsidR="00BD578F">
        <w:tc>
          <w:tcPr>
            <w:tcW w:w="2154" w:type="dxa"/>
          </w:tcPr>
          <w:p w:rsidR="00BD578F" w:rsidRDefault="00BD578F">
            <w:pPr>
              <w:pStyle w:val="ConsPlusNormal"/>
              <w:jc w:val="center"/>
            </w:pPr>
            <w:r>
              <w:t>Ввод данных</w:t>
            </w:r>
          </w:p>
        </w:tc>
        <w:tc>
          <w:tcPr>
            <w:tcW w:w="3288" w:type="dxa"/>
            <w:gridSpan w:val="2"/>
          </w:tcPr>
          <w:p w:rsidR="00BD578F" w:rsidRDefault="00BD578F">
            <w:pPr>
              <w:pStyle w:val="ConsPlusNormal"/>
              <w:jc w:val="center"/>
            </w:pPr>
            <w:r>
              <w:t>Согласование</w:t>
            </w:r>
          </w:p>
        </w:tc>
        <w:tc>
          <w:tcPr>
            <w:tcW w:w="1869" w:type="dxa"/>
          </w:tcPr>
          <w:p w:rsidR="00BD578F" w:rsidRDefault="00BD578F">
            <w:pPr>
              <w:pStyle w:val="ConsPlusNormal"/>
              <w:jc w:val="center"/>
            </w:pPr>
            <w:r>
              <w:t>Утверждение</w:t>
            </w:r>
          </w:p>
        </w:tc>
        <w:tc>
          <w:tcPr>
            <w:tcW w:w="1757" w:type="dxa"/>
          </w:tcPr>
          <w:p w:rsidR="00BD578F" w:rsidRDefault="00BD578F">
            <w:pPr>
              <w:pStyle w:val="ConsPlusNormal"/>
              <w:jc w:val="center"/>
            </w:pPr>
            <w:r>
              <w:t>Просмотр</w:t>
            </w:r>
          </w:p>
        </w:tc>
      </w:tr>
      <w:tr w:rsidR="00BD578F">
        <w:tc>
          <w:tcPr>
            <w:tcW w:w="9068" w:type="dxa"/>
            <w:gridSpan w:val="5"/>
          </w:tcPr>
          <w:p w:rsidR="00BD578F" w:rsidRDefault="00BD578F">
            <w:pPr>
              <w:pStyle w:val="ConsPlusNormal"/>
              <w:jc w:val="center"/>
              <w:outlineLvl w:val="2"/>
            </w:pPr>
            <w:r>
              <w:t>Формирование федеральными государственными бюджетными учреждениями и федеральными государственными автономными учреждениями планов закупок товаров, работ, услуг для обеспечения государственных нужд</w:t>
            </w:r>
          </w:p>
        </w:tc>
      </w:tr>
      <w:tr w:rsidR="00BD578F">
        <w:tc>
          <w:tcPr>
            <w:tcW w:w="2154" w:type="dxa"/>
          </w:tcPr>
          <w:p w:rsidR="00BD578F" w:rsidRDefault="00BD578F">
            <w:pPr>
              <w:pStyle w:val="ConsPlusNormal"/>
              <w:jc w:val="center"/>
            </w:pPr>
            <w:r>
              <w:t>Ввод данных</w:t>
            </w:r>
          </w:p>
        </w:tc>
        <w:tc>
          <w:tcPr>
            <w:tcW w:w="1644" w:type="dxa"/>
          </w:tcPr>
          <w:p w:rsidR="00BD578F" w:rsidRDefault="00BD578F">
            <w:pPr>
              <w:pStyle w:val="ConsPlusNormal"/>
              <w:jc w:val="center"/>
            </w:pPr>
            <w:r>
              <w:t>Согласование</w:t>
            </w:r>
          </w:p>
        </w:tc>
        <w:tc>
          <w:tcPr>
            <w:tcW w:w="1644" w:type="dxa"/>
          </w:tcPr>
          <w:p w:rsidR="00BD578F" w:rsidRDefault="00BD578F">
            <w:pPr>
              <w:pStyle w:val="ConsPlusNormal"/>
              <w:jc w:val="center"/>
            </w:pPr>
            <w:r>
              <w:t>Подписание</w:t>
            </w:r>
          </w:p>
        </w:tc>
        <w:tc>
          <w:tcPr>
            <w:tcW w:w="1869" w:type="dxa"/>
          </w:tcPr>
          <w:p w:rsidR="00BD578F" w:rsidRDefault="00BD578F">
            <w:pPr>
              <w:pStyle w:val="ConsPlusNormal"/>
              <w:jc w:val="center"/>
            </w:pPr>
            <w:r>
              <w:t>Утверждение</w:t>
            </w:r>
          </w:p>
        </w:tc>
        <w:tc>
          <w:tcPr>
            <w:tcW w:w="1757" w:type="dxa"/>
          </w:tcPr>
          <w:p w:rsidR="00BD578F" w:rsidRDefault="00BD578F">
            <w:pPr>
              <w:pStyle w:val="ConsPlusNormal"/>
              <w:jc w:val="center"/>
            </w:pPr>
            <w:r>
              <w:t>Просмотр</w:t>
            </w:r>
          </w:p>
        </w:tc>
      </w:tr>
    </w:tbl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jc w:val="both"/>
      </w:pPr>
    </w:p>
    <w:p w:rsidR="00BD578F" w:rsidRDefault="00BD57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B1D" w:rsidRDefault="00236B1D"/>
    <w:sectPr w:rsidR="00236B1D" w:rsidSect="00AD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8F"/>
    <w:rsid w:val="00236B1D"/>
    <w:rsid w:val="00B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5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5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1710EDE69C3EDCD5FD7BC4518C04B1E9BB92DC1D0FC9A78A49DAD9552A68289C8A25799669E76D55AA50A389AFCAE45E92CA6A3FDa7q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41710EDE69C3EDCD5FD7BC4518C04B1E9BB92DC1D0FC9A78A49DAD9552A68289C8A257996E9B7F8500B50E71CEF8B14CF332A0BDFE77F6a4q6K" TargetMode="External"/><Relationship Id="rId12" Type="http://schemas.openxmlformats.org/officeDocument/2006/relationships/hyperlink" Target="consultantplus://offline/ref=A641710EDE69C3EDCD5FD7BC4518C04B1E9BB92DC1D0FC9A78A49DAD9552A6829BC8FA5B9867847D8515E35F34a9q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41710EDE69C3EDCD5FD7BC4518C04B1E9BB82ECDD3FC9A78A49DAD9552A68289C8A257996E9A7C8200B50E71CEF8B14CF332A0BDFE77F6a4q6K" TargetMode="External"/><Relationship Id="rId11" Type="http://schemas.openxmlformats.org/officeDocument/2006/relationships/hyperlink" Target="consultantplus://offline/ref=A641710EDE69C3EDCD5FD7BC4518C04B1F9BBC2DC1D4FC9A78A49DAD9552A68289C8A257996E9A7F8900B50E71CEF8B14CF332A0BDFE77F6a4q6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641710EDE69C3EDCD5FD7BC4518C04B1F9BBC2DC1D4FC9A78A49DAD9552A68289C8A257996E9A7F8000B50E71CEF8B14CF332A0BDFE77F6a4q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41710EDE69C3EDCD5FD7BC4518C04B1E9BB92DC1D0FC9A78A49DAD9552A68289C8A2549E699129D04FB4523492EBB041F330A4A2aFq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2019-04-19T10:42:00Z</dcterms:created>
  <dcterms:modified xsi:type="dcterms:W3CDTF">2019-04-19T10:42:00Z</dcterms:modified>
</cp:coreProperties>
</file>