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E3" w:rsidRDefault="009F0E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F0EE3" w:rsidRDefault="009F0EE3">
      <w:pPr>
        <w:pStyle w:val="ConsPlusNormal"/>
        <w:jc w:val="both"/>
        <w:outlineLvl w:val="0"/>
      </w:pPr>
    </w:p>
    <w:p w:rsidR="009F0EE3" w:rsidRDefault="009F0EE3">
      <w:pPr>
        <w:pStyle w:val="ConsPlusTitle"/>
        <w:jc w:val="center"/>
      </w:pPr>
      <w:r>
        <w:t>ФЕДЕРАЛЬНАЯ АНТИМОНОПОЛЬНАЯ СЛУЖБА</w:t>
      </w:r>
    </w:p>
    <w:p w:rsidR="009F0EE3" w:rsidRDefault="009F0EE3">
      <w:pPr>
        <w:pStyle w:val="ConsPlusTitle"/>
        <w:jc w:val="both"/>
      </w:pPr>
    </w:p>
    <w:p w:rsidR="009F0EE3" w:rsidRDefault="009F0EE3">
      <w:pPr>
        <w:pStyle w:val="ConsPlusTitle"/>
        <w:jc w:val="center"/>
      </w:pPr>
      <w:r>
        <w:t>ПИСЬМО</w:t>
      </w:r>
    </w:p>
    <w:p w:rsidR="009F0EE3" w:rsidRDefault="009F0EE3">
      <w:pPr>
        <w:pStyle w:val="ConsPlusTitle"/>
        <w:jc w:val="center"/>
      </w:pPr>
      <w:r>
        <w:t>от 13 октября 2017 г. N ИА/70852/17</w:t>
      </w:r>
    </w:p>
    <w:p w:rsidR="009F0EE3" w:rsidRDefault="009F0EE3">
      <w:pPr>
        <w:pStyle w:val="ConsPlusTitle"/>
        <w:jc w:val="both"/>
      </w:pPr>
    </w:p>
    <w:p w:rsidR="009F0EE3" w:rsidRDefault="009F0EE3">
      <w:pPr>
        <w:pStyle w:val="ConsPlusTitle"/>
        <w:jc w:val="center"/>
      </w:pPr>
      <w:r>
        <w:t>ПО ВОПРОСУ</w:t>
      </w:r>
    </w:p>
    <w:p w:rsidR="009F0EE3" w:rsidRDefault="009F0EE3">
      <w:pPr>
        <w:pStyle w:val="ConsPlusTitle"/>
        <w:jc w:val="center"/>
      </w:pPr>
      <w:r>
        <w:t>О ЗАКЛЮЧЕНИИ ГОСУДАРСТВЕННЫХ КОНТРАКТОВ НА ОХРАНУ ЗДАНИЙ</w:t>
      </w:r>
    </w:p>
    <w:p w:rsidR="009F0EE3" w:rsidRDefault="009F0EE3">
      <w:pPr>
        <w:pStyle w:val="ConsPlusNormal"/>
        <w:jc w:val="both"/>
      </w:pPr>
    </w:p>
    <w:p w:rsidR="009F0EE3" w:rsidRDefault="009F0EE3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службе",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службы", с учетом состоявшегося международного мероприятия "Неделя конкуренции в России", а также по итогам рассмотрения письма Федеральной службы национальной гвардии Российской</w:t>
      </w:r>
      <w:proofErr w:type="gramEnd"/>
      <w:r>
        <w:t xml:space="preserve"> </w:t>
      </w:r>
      <w:proofErr w:type="gramStart"/>
      <w:r>
        <w:t>Федерации (далее - Росгвардия) от 08.06.2017 N 1/3768 об исключении практики участия ведомственной охраны в конкурентных процедурах на право заключения договоров на охрану объектов и имущества, не относящихся к сферам ведения соответствующих органов исполнительной власти и организаций, ФАС России направляет территориальным органам для использования в работе информационное письмо по вопросу заключения государственных контрактов на оказание услуг по охране зданий.</w:t>
      </w:r>
      <w:proofErr w:type="gramEnd"/>
    </w:p>
    <w:p w:rsidR="009F0EE3" w:rsidRDefault="009F0EE3">
      <w:pPr>
        <w:pStyle w:val="ConsPlusNormal"/>
        <w:spacing w:before="220"/>
        <w:ind w:firstLine="540"/>
        <w:jc w:val="both"/>
      </w:pPr>
      <w:proofErr w:type="gramStart"/>
      <w:r>
        <w:t xml:space="preserve">Ранее ФАС России </w:t>
      </w:r>
      <w:hyperlink r:id="rId8" w:history="1">
        <w:r>
          <w:rPr>
            <w:color w:val="0000FF"/>
          </w:rPr>
          <w:t>письмом</w:t>
        </w:r>
      </w:hyperlink>
      <w:r>
        <w:t xml:space="preserve"> от 09.11.2016 N ИА/77244/16 в адрес территориальных органов направлена позиция по вопросу возможности заключения государственного контракта на оказание услуг по охране здания с ФГУП "Охрана" на основании </w:t>
      </w:r>
      <w:hyperlink r:id="rId9" w:history="1">
        <w:r>
          <w:rPr>
            <w:color w:val="0000FF"/>
          </w:rPr>
          <w:t>пункта 6 части 1 статьи 93</w:t>
        </w:r>
      </w:hyperlink>
      <w:r>
        <w:t xml:space="preserve"> Федерального закона от 05.04.2013 N 44 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о контрактной системе).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5 статьи 24</w:t>
        </w:r>
      </w:hyperlink>
      <w:r>
        <w:t xml:space="preserve"> Закона о контрактной системе заказчик выбирает способ определения поставщика (подрядчика, исполнителя) в соответствии с положениями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системе. При этом он не вправе совершать действия, влекущие за собой необоснованное сокращение числа участников закупки.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Таким образом, в случае необходимости заключения государственного контракта на оказание услуг по охране здания заказчик проводит отбор исполнителя конкурентными способами или осуществляет закупку у единственного исполнителя в случаях, предусмотренных исключительно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9F0EE3" w:rsidRDefault="009F0EE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пунктом 6 части 1 статьи 93</w:t>
        </w:r>
      </w:hyperlink>
      <w:r>
        <w:t xml:space="preserve"> Закона о контрактной системе закупка у единственного подрядчика, исполнителя осуществляется в случае,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</w:t>
      </w:r>
      <w:proofErr w:type="gramEnd"/>
      <w:r>
        <w:t xml:space="preserve"> Федерации или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>Вместе с тем, 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ФАС России обращает внимание, что постановлением Правительства Российской Федерации </w:t>
      </w:r>
      <w:r>
        <w:lastRenderedPageBreak/>
        <w:t xml:space="preserve">от 14.08.1992 N 587 "Вопросы частной детективной (сыскной) и частной охранной деятельности" (далее - Постановление N 587) утвержден </w:t>
      </w:r>
      <w:hyperlink r:id="rId14" w:history="1">
        <w:r>
          <w:rPr>
            <w:color w:val="0000FF"/>
          </w:rPr>
          <w:t>перечень</w:t>
        </w:r>
      </w:hyperlink>
      <w:r>
        <w:t xml:space="preserve"> объектов, на которые частная охранная деятельность не распространяется.</w:t>
      </w:r>
    </w:p>
    <w:p w:rsidR="009F0EE3" w:rsidRDefault="009F0EE3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осуществления отбора исполнителя по контракту на оказание услуг охраны здания, включенного в перечень объектов, на которые частная охранная деятельность не распространяется, с применением способов закупки, указанных в </w:t>
      </w:r>
      <w:hyperlink r:id="rId15" w:history="1">
        <w:r>
          <w:rPr>
            <w:color w:val="0000FF"/>
          </w:rPr>
          <w:t>Законе</w:t>
        </w:r>
      </w:hyperlink>
      <w:r>
        <w:t xml:space="preserve"> о контрактной системе, участником закупки не может быть, а, следовательно, контракт не может быть заключен с лицом, осуществляющим частную охранную деятельность.</w:t>
      </w:r>
      <w:proofErr w:type="gramEnd"/>
    </w:p>
    <w:p w:rsidR="009F0EE3" w:rsidRDefault="009F0EE3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с учетом положений </w:t>
      </w:r>
      <w:hyperlink r:id="rId16" w:history="1">
        <w:r>
          <w:rPr>
            <w:color w:val="0000FF"/>
          </w:rPr>
          <w:t>пункта 1 части 1 статьи 31</w:t>
        </w:r>
      </w:hyperlink>
      <w:r>
        <w:t xml:space="preserve"> Закона о контрактной системе при проведении отбора исполнителя по контракту на оказание услуг охраны здания, включенного в перечень, утвержденный </w:t>
      </w:r>
      <w:hyperlink r:id="rId17" w:history="1">
        <w:r>
          <w:rPr>
            <w:color w:val="0000FF"/>
          </w:rPr>
          <w:t>Постановлением N 587</w:t>
        </w:r>
      </w:hyperlink>
      <w:r>
        <w:t>, в документации о закупке необходимо установить требование к участникам закупки, в соответствии с которым участник закупки не может являться лицом, осуществляющим частную охранную деятельность.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Вместе с тем, </w:t>
      </w:r>
      <w:hyperlink r:id="rId18" w:history="1">
        <w:r>
          <w:rPr>
            <w:color w:val="0000FF"/>
          </w:rPr>
          <w:t>Постановление N 587</w:t>
        </w:r>
      </w:hyperlink>
      <w:r>
        <w:t xml:space="preserve"> не устанавливает исключительные полномочия какой-либо организации на оказание услуг по охране объектов, на которые частная охранная деятельность не распространяется, в </w:t>
      </w:r>
      <w:proofErr w:type="gramStart"/>
      <w:r>
        <w:t>связи</w:t>
      </w:r>
      <w:proofErr w:type="gramEnd"/>
      <w:r>
        <w:t xml:space="preserve"> с чем заключение контракта на охрану здания, включенного в </w:t>
      </w:r>
      <w:hyperlink r:id="rId19" w:history="1">
        <w:r>
          <w:rPr>
            <w:color w:val="0000FF"/>
          </w:rPr>
          <w:t>перечень</w:t>
        </w:r>
      </w:hyperlink>
      <w:r>
        <w:t xml:space="preserve">, утвержденный Постановлением N 587, с единственным исполнителем без проведения торгов на основании </w:t>
      </w:r>
      <w:hyperlink r:id="rId20" w:history="1">
        <w:r>
          <w:rPr>
            <w:color w:val="0000FF"/>
          </w:rPr>
          <w:t>пункта 6 части 1 статьи 93</w:t>
        </w:r>
      </w:hyperlink>
      <w:r>
        <w:t xml:space="preserve"> Закона о контрактной системе не соответствует </w:t>
      </w:r>
      <w:hyperlink r:id="rId21" w:history="1">
        <w:r>
          <w:rPr>
            <w:color w:val="0000FF"/>
          </w:rPr>
          <w:t>Закону</w:t>
        </w:r>
      </w:hyperlink>
      <w:r>
        <w:t xml:space="preserve"> о контрактной системе.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22" w:history="1">
        <w:r>
          <w:rPr>
            <w:color w:val="0000FF"/>
          </w:rPr>
          <w:t>статьи 1</w:t>
        </w:r>
      </w:hyperlink>
      <w:r>
        <w:t xml:space="preserve"> Федерального закона от 14.04.1999 N 77-ФЗ "О ведомственной охране" (далее - Закон о ведомственной охране) ведомственная охрана - совокупность создаваемых имеющими право на создание ведомственной охраны федеральными государственными органами и организациями органов управления, сил и средств, предназначенных для защиты охраняемых объектов от противоправных посягательств. К охраняемым ведомственной охраной объектам относятся здания, строения, сооружения, прилегающие к ним территории и акватории, транспортные средства, а также грузы, в том числе при их транспортировке, денежные средства и иное имущество, подлежащие защите от противоправных посягательств.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3" w:history="1">
        <w:r>
          <w:rPr>
            <w:color w:val="0000FF"/>
          </w:rPr>
          <w:t>статьей 8</w:t>
        </w:r>
      </w:hyperlink>
      <w:r>
        <w:t xml:space="preserve"> Закона о ведомственной охране ведомственная охрана </w:t>
      </w:r>
      <w:proofErr w:type="gramStart"/>
      <w:r>
        <w:t>осуществляет</w:t>
      </w:r>
      <w:proofErr w:type="gramEnd"/>
      <w:r>
        <w:t xml:space="preserve"> в том числе защиту охраняемых объектов, являющихся государственной собственностью и (или) находящихся в сфере ведения соответствующих федеральных государственных органов.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24" w:history="1">
        <w:r>
          <w:rPr>
            <w:color w:val="0000FF"/>
          </w:rPr>
          <w:t>Законом</w:t>
        </w:r>
      </w:hyperlink>
      <w:r>
        <w:t xml:space="preserve"> о ведомственной охране не установлено ограничение деятельности ведомственной охраны в части наличия права осуществления охранной деятельности исключительно в отношении объектов, находящихся в сфере ведения соответствующих федеральных органов исполнительной власти и организаций.</w:t>
      </w:r>
    </w:p>
    <w:p w:rsidR="009F0EE3" w:rsidRDefault="009F0EE3">
      <w:pPr>
        <w:pStyle w:val="ConsPlusNormal"/>
        <w:spacing w:before="220"/>
        <w:ind w:firstLine="540"/>
        <w:jc w:val="both"/>
      </w:pPr>
      <w:proofErr w:type="gramStart"/>
      <w:r>
        <w:t xml:space="preserve">Указанная позиция подтверждается судебной практикой, в том числе решением Арбитражного суда Ставропольского края от 10.04.2017 по делу N А63-1432/2017, решением Арбитражного суда Волгоградской области от 07.04.2017 по делу N А12-2913/2017,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Арбитражного суда Центрального округа (кассационная инстанция) от 27.02.2017 по делу N А14-6157/2016,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Арбитражного суда Волго-Вятского округа (кассационная инстанция) от 07.04.2017 по делу N А43-13879/2016</w:t>
      </w:r>
      <w:proofErr w:type="gramEnd"/>
      <w:r>
        <w:t xml:space="preserve">, </w:t>
      </w:r>
      <w:hyperlink r:id="rId27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Четвертого арбитражного апелляционного суда от 02.12.2016 по делу N А19-8214/2016,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Первого арбитражного апелляционного суда от 28.11.2016 по делу N А43-8672/2016, решением Арбитражного суда Ивановской области от 07.12.2016 по делу N А17-1786/2016, оставленным в силе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Второго арбитражного апелляционного суда от 14.03.2017,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Девятнадцатого арбитражного суда от 03.02.2016 по делу N А08-2423/2015, решением Арбитражного суда</w:t>
      </w:r>
      <w:proofErr w:type="gramEnd"/>
      <w:r>
        <w:t xml:space="preserve"> </w:t>
      </w:r>
      <w:proofErr w:type="gramStart"/>
      <w:r>
        <w:t xml:space="preserve">Ямало-Ненецкого автономного округа от 13.07.2015 по делу N А81-2542/2015, </w:t>
      </w:r>
      <w:r>
        <w:lastRenderedPageBreak/>
        <w:t xml:space="preserve">оставленным в силе </w:t>
      </w:r>
      <w:hyperlink r:id="rId31" w:history="1">
        <w:r>
          <w:rPr>
            <w:color w:val="0000FF"/>
          </w:rPr>
          <w:t>постановлениями</w:t>
        </w:r>
      </w:hyperlink>
      <w:r>
        <w:t xml:space="preserve"> Восьмого арбитражного апелляционного суда от 07.10.2015 и Арбитражного суда Западно-Сибирского округа от 09.02.2016, решением Арбитражного суда Ямало-Ненецкого автономного округа от 07.12.2015 по делу N А81-2543/2015, оставленным в силе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Восьмого арбитражного апелляционного суда от 07.12.2015, решением Арбитражного суда города Москвы от 25.11.2015 по делу N</w:t>
      </w:r>
      <w:proofErr w:type="gramEnd"/>
      <w:r>
        <w:t xml:space="preserve"> А40-140860/2015, решением Арбитражного суда города Москвы от 01.12.2015 по делу N А40-131540/2015, оставленным в силе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03.03.2016.</w:t>
      </w:r>
    </w:p>
    <w:p w:rsidR="009F0EE3" w:rsidRDefault="009F0EE3">
      <w:pPr>
        <w:pStyle w:val="ConsPlusNormal"/>
        <w:spacing w:before="220"/>
        <w:ind w:firstLine="540"/>
        <w:jc w:val="both"/>
      </w:pPr>
      <w:r>
        <w:t xml:space="preserve">Судами отмечается, что законодательство Российской Федерации не содержит условий, ограничивающих деятельность ведомственной охраны исключительно задачами в отношении только подведомственных ей объектов, в </w:t>
      </w:r>
      <w:proofErr w:type="gramStart"/>
      <w:r>
        <w:t>связи</w:t>
      </w:r>
      <w:proofErr w:type="gramEnd"/>
      <w:r>
        <w:t xml:space="preserve"> с чем участие в закупке на охрану зданий вправе принимать любые заинтересованные лица, соответствующие требованиям к участникам закупки, независимо от ведомственной принадлежности объектов.</w:t>
      </w:r>
    </w:p>
    <w:p w:rsidR="009F0EE3" w:rsidRDefault="009F0EE3">
      <w:pPr>
        <w:pStyle w:val="ConsPlusNormal"/>
        <w:spacing w:before="220"/>
        <w:ind w:firstLine="540"/>
        <w:jc w:val="both"/>
      </w:pPr>
      <w:proofErr w:type="gramStart"/>
      <w:r>
        <w:t xml:space="preserve">С учетом изложенного, по мнению ФАС России, в случае проведения отбора исполнителя по контракту на оказание услуг охраны здания, включенного в </w:t>
      </w:r>
      <w:hyperlink r:id="rId34" w:history="1">
        <w:r>
          <w:rPr>
            <w:color w:val="0000FF"/>
          </w:rPr>
          <w:t>перечень</w:t>
        </w:r>
      </w:hyperlink>
      <w:r>
        <w:t>, утвержденный Постановлением N 587, с применением конкурентных способов, в такой закупке вправе принимать участие федеральные государственные унитарные предприятия и государственные учреждения, осуществляющие ведомственную охрану (например, ФГУП "Связь-безопасность, ФГУП "Охрана" Росгвардии, ФГУП "Управление ведомственной охраны Министерства транспорта Российской Федерации</w:t>
      </w:r>
      <w:proofErr w:type="gramEnd"/>
      <w:r>
        <w:t xml:space="preserve">", </w:t>
      </w:r>
      <w:proofErr w:type="gramStart"/>
      <w:r>
        <w:t xml:space="preserve">ФКУ "Государственное учреждение "Ведомственная охрана Министерства финансов Российской Федерации" и иные федеральные государственные унитарные предприятия и государственные учреждения, осуществляющие ведомственную охрану, созданные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14.04.1999 N 77-ФЗ "О ведомственной охране").</w:t>
      </w:r>
      <w:proofErr w:type="gramEnd"/>
    </w:p>
    <w:p w:rsidR="009F0EE3" w:rsidRDefault="009F0EE3">
      <w:pPr>
        <w:pStyle w:val="ConsPlusNormal"/>
        <w:spacing w:before="220"/>
        <w:ind w:firstLine="540"/>
        <w:jc w:val="both"/>
      </w:pPr>
      <w:proofErr w:type="gramStart"/>
      <w:r>
        <w:t>Дополнительно ФАС России сообщает, что в настоящее время рассматривается вопрос о выдаче Росгвардии предупреждения о прекращении действий, которые содержат признаки нарушения антимонопольного законодательства, в части необоснованного препятствовании осуществлению деятельности федеральным государственным унитарным предприятиям и государственным учреждениям, осуществляющим ведомственную охрану, путем направления писем высшим исполнительным органам государственной власти субъектов Российской Федерации об исключении практики участия ведомственной охраны в конкурсах (аукционах) на</w:t>
      </w:r>
      <w:proofErr w:type="gramEnd"/>
      <w:r>
        <w:t xml:space="preserve"> </w:t>
      </w:r>
      <w:proofErr w:type="gramStart"/>
      <w:r>
        <w:t>право заключения договоров на охрану объектов и имущества, не относящихся к сферам ведения соответствующих федеральных органов исполнительной власти и организаций, а также выдаче предупреждения ФГУП "Охрана" Росгвардии о прекращении действий, которые содержат признаки нарушения антимонопольного законодательства, в связи с направлением в адрес Управления Роспотребнадзора по Курганской области искаженной информации касательно ФГУП "Связь-безопасность".</w:t>
      </w:r>
      <w:proofErr w:type="gramEnd"/>
    </w:p>
    <w:p w:rsidR="009F0EE3" w:rsidRDefault="009F0EE3">
      <w:pPr>
        <w:pStyle w:val="ConsPlusNormal"/>
        <w:jc w:val="both"/>
      </w:pPr>
    </w:p>
    <w:p w:rsidR="009F0EE3" w:rsidRDefault="009F0EE3">
      <w:pPr>
        <w:pStyle w:val="ConsPlusNormal"/>
        <w:jc w:val="right"/>
      </w:pPr>
      <w:r>
        <w:t>И.Ю.АРТЕМЬЕВ</w:t>
      </w:r>
    </w:p>
    <w:p w:rsidR="009F0EE3" w:rsidRDefault="009F0EE3">
      <w:pPr>
        <w:pStyle w:val="ConsPlusNormal"/>
        <w:jc w:val="both"/>
      </w:pPr>
    </w:p>
    <w:p w:rsidR="009F0EE3" w:rsidRDefault="009F0EE3">
      <w:pPr>
        <w:pStyle w:val="ConsPlusNormal"/>
        <w:jc w:val="both"/>
      </w:pPr>
    </w:p>
    <w:p w:rsidR="009F0EE3" w:rsidRDefault="009F0E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E33" w:rsidRDefault="00E75E33">
      <w:bookmarkStart w:id="0" w:name="_GoBack"/>
      <w:bookmarkEnd w:id="0"/>
    </w:p>
    <w:sectPr w:rsidR="00E75E33" w:rsidSect="0067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E3"/>
    <w:rsid w:val="009F0EE3"/>
    <w:rsid w:val="00E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ECDB8D6E488EC18F29D719419C4B3FBB52A9C45A6A9C403D0445FAACE5KAL" TargetMode="External"/><Relationship Id="rId13" Type="http://schemas.openxmlformats.org/officeDocument/2006/relationships/hyperlink" Target="consultantplus://offline/ref=BEECDB8D6E488EC18F29D719419C4B3FBB51A9C853699C403D0445FAAC5A9B64855246058901A6BFEBKAL" TargetMode="External"/><Relationship Id="rId18" Type="http://schemas.openxmlformats.org/officeDocument/2006/relationships/hyperlink" Target="consultantplus://offline/ref=BEECDB8D6E488EC18F29D719419C4B3FBB51A9CD5B669C403D0445FAACE5KAL" TargetMode="External"/><Relationship Id="rId26" Type="http://schemas.openxmlformats.org/officeDocument/2006/relationships/hyperlink" Target="consultantplus://offline/ref=BEECDB8D6E488EC18F29C80E409C4B3FBE5BA9CA5C65C14A355D49F8EAK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ECDB8D6E488EC18F29D719419C4B3FBB51A9C853699C403D0445FAACE5KAL" TargetMode="External"/><Relationship Id="rId34" Type="http://schemas.openxmlformats.org/officeDocument/2006/relationships/hyperlink" Target="consultantplus://offline/ref=BEECDB8D6E488EC18F29D719419C4B3FBB51A9CD5B669C403D0445FAAC5A9B64855246058900A3BEEBKBL" TargetMode="External"/><Relationship Id="rId7" Type="http://schemas.openxmlformats.org/officeDocument/2006/relationships/hyperlink" Target="consultantplus://offline/ref=BEECDB8D6E488EC18F29D719419C4B3FB85BA0C95C669C403D0445FAAC5A9B64855246058900A2B7EBK9L" TargetMode="External"/><Relationship Id="rId12" Type="http://schemas.openxmlformats.org/officeDocument/2006/relationships/hyperlink" Target="consultantplus://offline/ref=BEECDB8D6E488EC18F29D719419C4B3FBB51A9C853699C403D0445FAACE5KAL" TargetMode="External"/><Relationship Id="rId17" Type="http://schemas.openxmlformats.org/officeDocument/2006/relationships/hyperlink" Target="consultantplus://offline/ref=BEECDB8D6E488EC18F29D719419C4B3FBB51A9CD5B669C403D0445FAACE5KAL" TargetMode="External"/><Relationship Id="rId25" Type="http://schemas.openxmlformats.org/officeDocument/2006/relationships/hyperlink" Target="consultantplus://offline/ref=BEECDB8D6E488EC18F29C81B589C4B3FB853AACE5F6F9C403D0445FAACE5KAL" TargetMode="External"/><Relationship Id="rId33" Type="http://schemas.openxmlformats.org/officeDocument/2006/relationships/hyperlink" Target="consultantplus://offline/ref=BEECDB8D6E488EC18F29D61944E51E6CB45AA1CC5B6B901D370C1CF6AE5DE9K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ECDB8D6E488EC18F29D719419C4B3FBB51A9C853699C403D0445FAAC5A9B64855246058900A2B4EBKCL" TargetMode="External"/><Relationship Id="rId20" Type="http://schemas.openxmlformats.org/officeDocument/2006/relationships/hyperlink" Target="consultantplus://offline/ref=BEECDB8D6E488EC18F29D719419C4B3FBB51A9C853699C403D0445FAAC5A9B64855246058901A6BFEBKAL" TargetMode="External"/><Relationship Id="rId29" Type="http://schemas.openxmlformats.org/officeDocument/2006/relationships/hyperlink" Target="consultantplus://offline/ref=BEECDB8D6E488EC18F29C91946F41532BB58F6C15D689715675B1EA7FB539133ECK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ECDB8D6E488EC18F29D719419C4B3FBB5AA9CF5C6D9C403D0445FAAC5A9B64855246058900A0B2EBKDL" TargetMode="External"/><Relationship Id="rId11" Type="http://schemas.openxmlformats.org/officeDocument/2006/relationships/hyperlink" Target="consultantplus://offline/ref=BEECDB8D6E488EC18F29D719419C4B3FBB51A9C853699C403D0445FAACE5KAL" TargetMode="External"/><Relationship Id="rId24" Type="http://schemas.openxmlformats.org/officeDocument/2006/relationships/hyperlink" Target="consultantplus://offline/ref=BEECDB8D6E488EC18F29D719419C4B3FBB5BACC85D689C403D0445FAACE5KAL" TargetMode="External"/><Relationship Id="rId32" Type="http://schemas.openxmlformats.org/officeDocument/2006/relationships/hyperlink" Target="consultantplus://offline/ref=BEECDB8D6E488EC18F29C91946F41532B158F6C15D6E9417635B1EA7FB539133ECK2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EECDB8D6E488EC18F29D719419C4B3FBB51A9C853699C403D0445FAACE5KAL" TargetMode="External"/><Relationship Id="rId23" Type="http://schemas.openxmlformats.org/officeDocument/2006/relationships/hyperlink" Target="consultantplus://offline/ref=BEECDB8D6E488EC18F29D719419C4B3FBB5BACC85D689C403D0445FAAC5A9B64855246058900A0B1EBKEL" TargetMode="External"/><Relationship Id="rId28" Type="http://schemas.openxmlformats.org/officeDocument/2006/relationships/hyperlink" Target="consultantplus://offline/ref=BEECDB8D6E488EC18F29C91946F41532B858F6C15C6A9610695B1EA7FB539133ECK2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EECDB8D6E488EC18F29D719419C4B3FBB51A9C853699C403D0445FAAC5A9B64855246058900A3B0EBKAL" TargetMode="External"/><Relationship Id="rId19" Type="http://schemas.openxmlformats.org/officeDocument/2006/relationships/hyperlink" Target="consultantplus://offline/ref=BEECDB8D6E488EC18F29D719419C4B3FBB51A9CD5B669C403D0445FAAC5A9B64855246058900A3BEEBKBL" TargetMode="External"/><Relationship Id="rId31" Type="http://schemas.openxmlformats.org/officeDocument/2006/relationships/hyperlink" Target="consultantplus://offline/ref=BEECDB8D6E488EC18F29C91946F41532B158F6C15C669012625B1EA7FB539133ECK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ECDB8D6E488EC18F29D719419C4B3FBB51A9C853699C403D0445FAAC5A9B64855246058901A6BFEBKAL" TargetMode="External"/><Relationship Id="rId14" Type="http://schemas.openxmlformats.org/officeDocument/2006/relationships/hyperlink" Target="consultantplus://offline/ref=BEECDB8D6E488EC18F29D719419C4B3FBB51A9CD5B669C403D0445FAAC5A9B64855246058900A3BEEBKBL" TargetMode="External"/><Relationship Id="rId22" Type="http://schemas.openxmlformats.org/officeDocument/2006/relationships/hyperlink" Target="consultantplus://offline/ref=BEECDB8D6E488EC18F29D719419C4B3FBB5BACC85D689C403D0445FAAC5A9B64855246058900A1B6EBKAL" TargetMode="External"/><Relationship Id="rId27" Type="http://schemas.openxmlformats.org/officeDocument/2006/relationships/hyperlink" Target="consultantplus://offline/ref=BEECDB8D6E488EC18F29C91946F41532BD58F6C15F669E16625B1EA7FB539133ECK2L" TargetMode="External"/><Relationship Id="rId30" Type="http://schemas.openxmlformats.org/officeDocument/2006/relationships/hyperlink" Target="consultantplus://offline/ref=BEECDB8D6E488EC18F29C91946F41533B058F6C15C699F17625B1EA7FB539133ECK2L" TargetMode="External"/><Relationship Id="rId35" Type="http://schemas.openxmlformats.org/officeDocument/2006/relationships/hyperlink" Target="consultantplus://offline/ref=BEECDB8D6E488EC18F29D719419C4B3FBB5BACC85D689C403D0445FAACE5K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2018-06-22T11:10:00Z</dcterms:created>
  <dcterms:modified xsi:type="dcterms:W3CDTF">2018-06-22T11:10:00Z</dcterms:modified>
</cp:coreProperties>
</file>