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BB" w:rsidRDefault="006F77B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77BB" w:rsidRDefault="006F77BB">
      <w:pPr>
        <w:pStyle w:val="ConsPlusNormal"/>
        <w:jc w:val="both"/>
        <w:outlineLvl w:val="0"/>
      </w:pPr>
    </w:p>
    <w:p w:rsidR="006F77BB" w:rsidRDefault="006F77BB">
      <w:pPr>
        <w:pStyle w:val="ConsPlusTitle"/>
        <w:jc w:val="center"/>
      </w:pPr>
      <w:r>
        <w:t>МИНИСТЕРСТВО ФИНАНСОВ РОССИЙСКОЙ ФЕДЕРАЦИИ</w:t>
      </w:r>
    </w:p>
    <w:p w:rsidR="006F77BB" w:rsidRDefault="006F77BB">
      <w:pPr>
        <w:pStyle w:val="ConsPlusTitle"/>
        <w:jc w:val="center"/>
      </w:pPr>
    </w:p>
    <w:p w:rsidR="006F77BB" w:rsidRDefault="006F77BB">
      <w:pPr>
        <w:pStyle w:val="ConsPlusTitle"/>
        <w:jc w:val="center"/>
      </w:pPr>
      <w:r>
        <w:t>ПИСЬМО</w:t>
      </w:r>
    </w:p>
    <w:p w:rsidR="006F77BB" w:rsidRDefault="006F77BB">
      <w:pPr>
        <w:pStyle w:val="ConsPlusTitle"/>
        <w:jc w:val="center"/>
      </w:pPr>
      <w:r>
        <w:t>от 16 июня 2017 г. N 24-02-06/37730</w:t>
      </w:r>
    </w:p>
    <w:p w:rsidR="006F77BB" w:rsidRDefault="006F77BB">
      <w:pPr>
        <w:pStyle w:val="ConsPlusTitle"/>
        <w:jc w:val="center"/>
      </w:pPr>
    </w:p>
    <w:p w:rsidR="006F77BB" w:rsidRDefault="006F77BB">
      <w:pPr>
        <w:pStyle w:val="ConsPlusTitle"/>
        <w:jc w:val="center"/>
      </w:pPr>
      <w:r>
        <w:t>О РАССМОТРЕНИИ ОБРАЩЕНИЯ</w:t>
      </w:r>
    </w:p>
    <w:p w:rsidR="006F77BB" w:rsidRDefault="006F77BB">
      <w:pPr>
        <w:pStyle w:val="ConsPlusNormal"/>
        <w:jc w:val="both"/>
      </w:pPr>
    </w:p>
    <w:p w:rsidR="006F77BB" w:rsidRDefault="006F77BB">
      <w:pPr>
        <w:pStyle w:val="ConsPlusNormal"/>
        <w:ind w:firstLine="540"/>
        <w:jc w:val="both"/>
      </w:pPr>
      <w:proofErr w:type="gramStart"/>
      <w:r>
        <w:t xml:space="preserve">Минфин России, рассмотрев обращение по вопросу о порядке обоснования начальной (максимальной) цены контракта при осуществлении закупки у единственного поставщика (подрядчика, исполнителя)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  <w:proofErr w:type="gramEnd"/>
    </w:p>
    <w:p w:rsidR="006F77BB" w:rsidRDefault="006F77BB">
      <w:pPr>
        <w:pStyle w:val="ConsPlusNormal"/>
        <w:ind w:firstLine="540"/>
        <w:jc w:val="both"/>
      </w:pPr>
      <w:r>
        <w:t xml:space="preserve">Порядок обоснования начальной (максимальной) цены контракта, цены контракта, заключаемого с единственным поставщиком (подрядчиком, исполнителем), установлен </w:t>
      </w:r>
      <w:hyperlink r:id="rId7" w:history="1">
        <w:r>
          <w:rPr>
            <w:color w:val="0000FF"/>
          </w:rPr>
          <w:t>статьей 22</w:t>
        </w:r>
      </w:hyperlink>
      <w:r>
        <w:t xml:space="preserve"> Закона о контрактной системе.</w:t>
      </w:r>
    </w:p>
    <w:p w:rsidR="006F77BB" w:rsidRDefault="006F77BB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 статьи 22</w:t>
        </w:r>
      </w:hyperlink>
      <w:r>
        <w:t xml:space="preserve"> Закона о контрактной системе начальная (максимальная) цена контракта, цена контракта, заключаемого с единственным поставщиком (подрядчиком, исполнителем), </w:t>
      </w:r>
      <w:proofErr w:type="gramStart"/>
      <w:r>
        <w:t>определяются и обосновываются</w:t>
      </w:r>
      <w:proofErr w:type="gramEnd"/>
      <w:r>
        <w:t xml:space="preserve"> заказчиком посредством применения следующего метода или нескольких следующих методов: метод сопоставимых рыночных цен (анализа рынка); нормативный метод; тарифный метод; проектно-сметный метод; затратный метод.</w:t>
      </w:r>
    </w:p>
    <w:p w:rsidR="006F77BB" w:rsidRDefault="006F77BB">
      <w:pPr>
        <w:pStyle w:val="ConsPlusNormal"/>
        <w:ind w:firstLine="540"/>
        <w:jc w:val="both"/>
      </w:pPr>
      <w:r>
        <w:t>Таким образом, при осуществлении закупок обоснованию подлежит как начальная (максимальная) цена контракта при осуществлении закупок конкурентными способами, так и цена контракта, заключаемого с единственным поставщиком (подрядчиком, исполнителем).</w:t>
      </w:r>
    </w:p>
    <w:p w:rsidR="006F77BB" w:rsidRDefault="006F77BB">
      <w:pPr>
        <w:pStyle w:val="ConsPlusNormal"/>
        <w:ind w:firstLine="540"/>
        <w:jc w:val="both"/>
      </w:pPr>
      <w:proofErr w:type="gramStart"/>
      <w:r>
        <w:t xml:space="preserve">Методические </w:t>
      </w:r>
      <w:hyperlink r:id="rId9" w:history="1">
        <w:r>
          <w:rPr>
            <w:color w:val="0000FF"/>
          </w:rPr>
          <w:t>рекомендации</w:t>
        </w:r>
      </w:hyperlink>
      <w: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утвержденные приказом Минэкономразвития России от 02.10.2013 N 567, разъясняют возможные способы определения начальной (максимальной) цены контракта, цены контракта, заключаемого с единственным поставщиком (подрядчиком, исполнителем), с применением методов, установленных </w:t>
      </w:r>
      <w:hyperlink r:id="rId10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  <w:proofErr w:type="gramEnd"/>
    </w:p>
    <w:p w:rsidR="006F77BB" w:rsidRDefault="006F77BB">
      <w:pPr>
        <w:pStyle w:val="ConsPlusNormal"/>
        <w:ind w:firstLine="540"/>
        <w:jc w:val="both"/>
      </w:pPr>
      <w:r>
        <w:t xml:space="preserve">Вместе с тем согласно </w:t>
      </w:r>
      <w:hyperlink r:id="rId11" w:history="1">
        <w:r>
          <w:rPr>
            <w:color w:val="0000FF"/>
          </w:rPr>
          <w:t>части 6 статьи 22</w:t>
        </w:r>
      </w:hyperlink>
      <w:r>
        <w:t xml:space="preserve"> Закона о контрактной системе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</w:t>
      </w:r>
      <w:hyperlink r:id="rId12" w:history="1">
        <w:r>
          <w:rPr>
            <w:color w:val="0000FF"/>
          </w:rPr>
          <w:t>частями 7</w:t>
        </w:r>
      </w:hyperlink>
      <w:r>
        <w:t xml:space="preserve"> - </w:t>
      </w:r>
      <w:hyperlink r:id="rId13" w:history="1">
        <w:r>
          <w:rPr>
            <w:color w:val="0000FF"/>
          </w:rPr>
          <w:t>11 статьи 22</w:t>
        </w:r>
      </w:hyperlink>
      <w:r>
        <w:t xml:space="preserve"> Закона о контрактной системе.</w:t>
      </w:r>
    </w:p>
    <w:p w:rsidR="006F77BB" w:rsidRDefault="006F77BB">
      <w:pPr>
        <w:pStyle w:val="ConsPlusNormal"/>
        <w:ind w:firstLine="540"/>
        <w:jc w:val="both"/>
      </w:pPr>
      <w:r>
        <w:t xml:space="preserve">При этом </w:t>
      </w:r>
      <w:hyperlink r:id="rId14" w:history="1">
        <w:r>
          <w:rPr>
            <w:color w:val="0000FF"/>
          </w:rPr>
          <w:t>частью 12 статьи 22</w:t>
        </w:r>
      </w:hyperlink>
      <w:r>
        <w:t xml:space="preserve"> Закона о контрактной системе установлено, что в случае невозможности применения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 </w:t>
      </w:r>
      <w:hyperlink r:id="rId15" w:history="1">
        <w:r>
          <w:rPr>
            <w:color w:val="0000FF"/>
          </w:rPr>
          <w:t>части 1 статьи 22</w:t>
        </w:r>
      </w:hyperlink>
      <w:r>
        <w:t xml:space="preserve"> Закона о контрактной системе,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</w:t>
      </w:r>
    </w:p>
    <w:p w:rsidR="006F77BB" w:rsidRDefault="006F77BB">
      <w:pPr>
        <w:pStyle w:val="ConsPlusNormal"/>
        <w:ind w:firstLine="540"/>
        <w:jc w:val="both"/>
      </w:pPr>
      <w:r>
        <w:t xml:space="preserve">На основании изложенного, при определении начальной (максимальной) цены контракта, заключаемого с единственным поставщиком (подрядчиком, исполнителем), заказчик в случае невозможности применения методов, указанных в </w:t>
      </w:r>
      <w:hyperlink r:id="rId16" w:history="1">
        <w:r>
          <w:rPr>
            <w:color w:val="0000FF"/>
          </w:rPr>
          <w:t>части 1 статьи 22</w:t>
        </w:r>
      </w:hyperlink>
      <w:r>
        <w:t xml:space="preserve"> Закона о контрактной системе, вправе применить иные методы.</w:t>
      </w:r>
    </w:p>
    <w:p w:rsidR="006F77BB" w:rsidRDefault="006F77BB">
      <w:pPr>
        <w:pStyle w:val="ConsPlusNormal"/>
        <w:jc w:val="both"/>
      </w:pPr>
    </w:p>
    <w:p w:rsidR="006F77BB" w:rsidRDefault="006F77BB">
      <w:pPr>
        <w:pStyle w:val="ConsPlusNormal"/>
        <w:jc w:val="right"/>
      </w:pPr>
      <w:r>
        <w:t>А.М.ЛАВРОВ</w:t>
      </w:r>
    </w:p>
    <w:p w:rsidR="006F77BB" w:rsidRDefault="006F77BB">
      <w:pPr>
        <w:pStyle w:val="ConsPlusNormal"/>
        <w:jc w:val="both"/>
      </w:pPr>
    </w:p>
    <w:p w:rsidR="006F77BB" w:rsidRDefault="006F77BB">
      <w:pPr>
        <w:pStyle w:val="ConsPlusNormal"/>
        <w:jc w:val="both"/>
      </w:pPr>
    </w:p>
    <w:p w:rsidR="006F77BB" w:rsidRDefault="006F77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7D0" w:rsidRDefault="004627D0">
      <w:bookmarkStart w:id="0" w:name="_GoBack"/>
      <w:bookmarkEnd w:id="0"/>
    </w:p>
    <w:sectPr w:rsidR="004627D0" w:rsidSect="005C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BB"/>
    <w:rsid w:val="004627D0"/>
    <w:rsid w:val="006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7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7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526C5A90513A505A5FE74917C7AE133FC210FA93BDB1C7683667D7ED606200F73EF56F3CA8EF3459xEI" TargetMode="External"/><Relationship Id="rId13" Type="http://schemas.openxmlformats.org/officeDocument/2006/relationships/hyperlink" Target="consultantplus://offline/ref=4D526C5A90513A505A5FE74917C7AE133FC210FA93BDB1C7683667D7ED606200F73EF56F3CA8EF3659x1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526C5A90513A505A5FE74917C7AE133FC210FA93BDB1C7683667D7ED606200F73EF56F3CA8EF3459xFI" TargetMode="External"/><Relationship Id="rId12" Type="http://schemas.openxmlformats.org/officeDocument/2006/relationships/hyperlink" Target="consultantplus://offline/ref=4D526C5A90513A505A5FE74917C7AE133FC210FA93BDB1C7683667D7ED606200F73EF56F3CA8EF3659x7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526C5A90513A505A5FE74917C7AE133FC210FA93BDB1C7683667D7ED606200F73EF56F3CA8EF3459x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526C5A90513A505A5FE74917C7AE133FC210FA93BDB1C7683667D7ED56x0I" TargetMode="External"/><Relationship Id="rId11" Type="http://schemas.openxmlformats.org/officeDocument/2006/relationships/hyperlink" Target="consultantplus://offline/ref=4D526C5A90513A505A5FE74917C7AE133FC210FA93BDB1C7683667D7ED606200F73EF56F3CA8EF3759x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D526C5A90513A505A5FE74917C7AE133FC210FA93BDB1C7683667D7ED606200F73EF56F3CA8EF3459xEI" TargetMode="External"/><Relationship Id="rId10" Type="http://schemas.openxmlformats.org/officeDocument/2006/relationships/hyperlink" Target="consultantplus://offline/ref=4D526C5A90513A505A5FE74917C7AE133FC210FA93BDB1C7683667D7ED56x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526C5A90513A505A5FE74917C7AE133CC61BF992B3B1C7683667D7ED606200F73EF56F3CA8ED3559xEI" TargetMode="External"/><Relationship Id="rId14" Type="http://schemas.openxmlformats.org/officeDocument/2006/relationships/hyperlink" Target="consultantplus://offline/ref=4D526C5A90513A505A5FE74917C7AE133FC210FA93BDB1C7683667D7ED606200F73EF56F3CA8EF3659x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cp:lastPrinted>2017-06-23T08:50:00Z</cp:lastPrinted>
  <dcterms:created xsi:type="dcterms:W3CDTF">2017-06-23T08:49:00Z</dcterms:created>
  <dcterms:modified xsi:type="dcterms:W3CDTF">2017-06-23T08:50:00Z</dcterms:modified>
</cp:coreProperties>
</file>