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EE" w:rsidRDefault="00A374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74EE" w:rsidRDefault="00A374EE">
      <w:pPr>
        <w:pStyle w:val="ConsPlusNormal"/>
        <w:ind w:firstLine="540"/>
        <w:jc w:val="both"/>
        <w:outlineLvl w:val="0"/>
      </w:pPr>
    </w:p>
    <w:p w:rsidR="00A374EE" w:rsidRDefault="00A374E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374EE" w:rsidRDefault="00A374EE">
      <w:pPr>
        <w:pStyle w:val="ConsPlusNormal"/>
        <w:jc w:val="both"/>
      </w:pPr>
    </w:p>
    <w:p w:rsidR="00A374EE" w:rsidRDefault="00A374EE">
      <w:pPr>
        <w:pStyle w:val="ConsPlusTitle"/>
        <w:jc w:val="center"/>
      </w:pPr>
      <w:r>
        <w:t>КАК СОСТАВЛЯТЬ И ИЗМЕНЯТЬ ГОСКОНТРАКТЫ С 1 ИЮЛЯ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13.05.2019.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Продолжаем серию материалов о </w:t>
      </w:r>
      <w:hyperlink r:id="rId6" w:history="1">
        <w:r>
          <w:rPr>
            <w:color w:val="0000FF"/>
          </w:rPr>
          <w:t>масштабных поправках</w:t>
        </w:r>
      </w:hyperlink>
      <w:r>
        <w:t xml:space="preserve"> к Закону N 44-ФЗ. Ранее мы писали о нововведениях в </w:t>
      </w:r>
      <w:hyperlink r:id="rId7" w:history="1">
        <w:r>
          <w:rPr>
            <w:color w:val="0000FF"/>
          </w:rPr>
          <w:t>закупках у единственного поставщика</w:t>
        </w:r>
      </w:hyperlink>
      <w:r>
        <w:t xml:space="preserve">, в </w:t>
      </w:r>
      <w:hyperlink r:id="rId8" w:history="1">
        <w:r>
          <w:rPr>
            <w:color w:val="0000FF"/>
          </w:rPr>
          <w:t>обосновании и планировании</w:t>
        </w:r>
      </w:hyperlink>
      <w:r>
        <w:t>, а также в процедурах закупок. В новом обзоре расскажем, что учитывать при подготовке, изменении и расторжении контрактов.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Установили предельные сроки возврата обеспечения контракта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В контракте нужно будет </w:t>
      </w:r>
      <w:hyperlink r:id="rId9" w:history="1">
        <w:r>
          <w:rPr>
            <w:color w:val="0000FF"/>
          </w:rPr>
          <w:t>по-прежнему</w:t>
        </w:r>
      </w:hyperlink>
      <w:r>
        <w:t xml:space="preserve"> устанавливать срок возврата денежных средств. Он </w:t>
      </w:r>
      <w:hyperlink r:id="rId10" w:history="1">
        <w:r>
          <w:rPr>
            <w:color w:val="0000FF"/>
          </w:rPr>
          <w:t>не должен превышать</w:t>
        </w:r>
      </w:hyperlink>
      <w:r>
        <w:t xml:space="preserve"> 30 дней </w:t>
      </w:r>
      <w:proofErr w:type="gramStart"/>
      <w:r>
        <w:t>с даты исполнения</w:t>
      </w:r>
      <w:proofErr w:type="gramEnd"/>
      <w:r>
        <w:t xml:space="preserve"> обязательств, а для закупок у СМП и СОНКО - 15 дней.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Определили, как устанавливать цены этапов контракта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Если контракт предусматривает этапы исполнения, цену каждого из них нужно будет устанавливать </w:t>
      </w:r>
      <w:hyperlink r:id="rId11" w:history="1">
        <w:r>
          <w:rPr>
            <w:color w:val="0000FF"/>
          </w:rPr>
          <w:t>в размере</w:t>
        </w:r>
      </w:hyperlink>
      <w:r>
        <w:t>, пропорциональном снижению НМЦК участником, с которым заключается контракт.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Введут новые обязательные положения для контрактов с неизвестным объемом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При заключении контракта с неизвестным объемом в него </w:t>
      </w:r>
      <w:hyperlink r:id="rId12" w:history="1">
        <w:r>
          <w:rPr>
            <w:color w:val="0000FF"/>
          </w:rPr>
          <w:t>нужно будет включить</w:t>
        </w:r>
      </w:hyperlink>
      <w:r>
        <w:t xml:space="preserve"> порядок определения количества товара, объема работ или услуг на основании заявок заказчика.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В таких контрактах </w:t>
      </w:r>
      <w:hyperlink r:id="rId13" w:history="1">
        <w:r>
          <w:rPr>
            <w:color w:val="0000FF"/>
          </w:rPr>
          <w:t>нужно будет указывать</w:t>
        </w:r>
      </w:hyperlink>
      <w:r>
        <w:t xml:space="preserve"> цены единиц товара, работы, услуги и максимальное значение цены контракта.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Ужесточат антидемпинговые меры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Не получат аванс</w:t>
        </w:r>
      </w:hyperlink>
      <w:r>
        <w:t xml:space="preserve"> участники аукционов и конкурсов, предложившие цену контракта на 25 и больше процентов ниже, чем НМЦК.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Будет больше возможностей пересмотреть условия контракта с единственным поставщиком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По соглашению сторон </w:t>
      </w:r>
      <w:hyperlink r:id="rId15" w:history="1">
        <w:r>
          <w:rPr>
            <w:color w:val="0000FF"/>
          </w:rPr>
          <w:t>можно будет менять</w:t>
        </w:r>
      </w:hyperlink>
      <w:r>
        <w:t xml:space="preserve"> существенные условия контрактов, если закупаются, в частности: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услуги естественных монополий</w:t>
        </w:r>
      </w:hyperlink>
      <w:r>
        <w:t>;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коммунальные услуги, услуги по газоснабжению, подключению к сетям</w:t>
        </w:r>
      </w:hyperlink>
      <w:r>
        <w:t>;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услуги по управлению многоквартирным домом</w:t>
        </w:r>
      </w:hyperlink>
      <w:r>
        <w:t>;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услуги по содержанию, ремонту, охране помещений, переданных заказчику в безвозмездное пользование или оперативное управление</w:t>
        </w:r>
      </w:hyperlink>
      <w:r>
        <w:t>;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0" w:history="1">
        <w:r>
          <w:rPr>
            <w:color w:val="0000FF"/>
          </w:rPr>
          <w:t>электроэнергия или услуги по энергоснабжению</w:t>
        </w:r>
      </w:hyperlink>
      <w:r>
        <w:t>;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аренда нежилых зданий и помещений</w:t>
        </w:r>
      </w:hyperlink>
      <w:r>
        <w:t>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Введут новые основания для изменения существенных условий "строительных" контрактов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Можно будет изменить </w:t>
      </w:r>
      <w:hyperlink r:id="rId22" w:history="1">
        <w:r>
          <w:rPr>
            <w:color w:val="0000FF"/>
          </w:rPr>
          <w:t>не только объем, но и вид выполняемых работ</w:t>
        </w:r>
      </w:hyperlink>
      <w:r>
        <w:t>. При этом цена не должна вырасти или уменьшиться более чем на 10%. Данное основание необходимо указать в документации о закупке и контракте.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Появится возможность </w:t>
      </w:r>
      <w:hyperlink r:id="rId23" w:history="1">
        <w:r>
          <w:rPr>
            <w:color w:val="0000FF"/>
          </w:rPr>
          <w:t>продлить</w:t>
        </w:r>
      </w:hyperlink>
      <w:r>
        <w:t xml:space="preserve"> любой контракт, если сроки нарушены по вине подрядчика или по независящим от сторон обстоятельствам. Дополнительное время не должно превышать исходного срока. Сторонам придется согласовать новый срок возврата суммы, предоставленной в обеспечение контракта. Если в нарушении первоначального срока виноват подрядчик, до заключения допсоглашения он должен выплатить все начисленные неустойки и предоставить обеспечение на новый срок.</w:t>
      </w:r>
    </w:p>
    <w:p w:rsidR="00A374EE" w:rsidRDefault="00A374EE">
      <w:pPr>
        <w:pStyle w:val="ConsPlusNormal"/>
        <w:spacing w:before="220"/>
        <w:ind w:firstLine="540"/>
        <w:jc w:val="both"/>
      </w:pPr>
      <w:r>
        <w:t xml:space="preserve">В контрактах со сроком исполнения более года </w:t>
      </w:r>
      <w:hyperlink r:id="rId24" w:history="1">
        <w:r>
          <w:rPr>
            <w:color w:val="0000FF"/>
          </w:rPr>
          <w:t>можно будет увеличить на 30% цену и срок исполнения</w:t>
        </w:r>
      </w:hyperlink>
      <w:r>
        <w:t xml:space="preserve">, если возникли независящие от сторон препятствия, </w:t>
      </w:r>
      <w:proofErr w:type="gramStart"/>
      <w:r>
        <w:t>например</w:t>
      </w:r>
      <w:proofErr w:type="gramEnd"/>
      <w:r>
        <w:t xml:space="preserve"> потребовалось доработать проектную документацию. Первоначальная цена контракта не должна превышать предела, установленного Правительством. Для изменения условий необходимо решение правительства, высшего исполнительного органа региона или местной администрации.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Title"/>
        <w:ind w:firstLine="540"/>
        <w:jc w:val="both"/>
        <w:outlineLvl w:val="0"/>
      </w:pPr>
      <w:r>
        <w:t>Заказчик сможет заключить контракт со вторым участником без проведения торгов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  <w:r>
        <w:t xml:space="preserve">В случае расторжения контракта по любому основанию новый </w:t>
      </w:r>
      <w:hyperlink r:id="rId25" w:history="1">
        <w:r>
          <w:rPr>
            <w:color w:val="0000FF"/>
          </w:rPr>
          <w:t>можно будет заключить</w:t>
        </w:r>
      </w:hyperlink>
      <w:r>
        <w:t xml:space="preserve"> с участником, заявке которого присвоен второй номер. При этом первого исполнителя должны включить в РНП, если от контракта отказался заказчик. Это ограничение не относится к поставкам товара для нормального жизнеобеспечения.</w:t>
      </w: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ind w:firstLine="540"/>
        <w:jc w:val="both"/>
      </w:pPr>
    </w:p>
    <w:p w:rsidR="00A374EE" w:rsidRDefault="00A374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76CE" w:rsidRDefault="00DE76CE">
      <w:bookmarkStart w:id="0" w:name="_GoBack"/>
      <w:bookmarkEnd w:id="0"/>
    </w:p>
    <w:sectPr w:rsidR="00DE76CE" w:rsidSect="0004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EE"/>
    <w:rsid w:val="00A374EE"/>
    <w:rsid w:val="00D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7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7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20EC096F2E3AD0224B25A7B5EBB493FC11F092B8A90EFE19D592FC4A833BA1371AD68E11CF022B475E49D31C1F8E20EF5C713469C8363ZApAL" TargetMode="External"/><Relationship Id="rId13" Type="http://schemas.openxmlformats.org/officeDocument/2006/relationships/hyperlink" Target="consultantplus://offline/ref=5D920EC096F2E3AD0224B25A7B5EBB493FC11F08268690EFE19D592FC4A833BA1371AD68E11CF122B075E49D31C1F8E20EF5C713469C8363ZApAL" TargetMode="External"/><Relationship Id="rId18" Type="http://schemas.openxmlformats.org/officeDocument/2006/relationships/hyperlink" Target="consultantplus://offline/ref=5D920EC096F2E3AD0224B25A7B5EBB493FC1180F2B8590EFE19D592FC4A833BA1371AD68E11DF225BC75E49D31C1F8E20EF5C713469C8363ZApA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920EC096F2E3AD0224B25A7B5EBB493FC1180F2B8590EFE19D592FC4A833BA1371AD68E11DF924B075E49D31C1F8E20EF5C713469C8363ZApAL" TargetMode="External"/><Relationship Id="rId7" Type="http://schemas.openxmlformats.org/officeDocument/2006/relationships/hyperlink" Target="consultantplus://offline/ref=5D920EC096F2E3AD0224B25A7B5EBB493FC11F0E278B90EFE19D592FC4A833BA0171F564E019EE22B060B2CC74Z9pDL" TargetMode="External"/><Relationship Id="rId12" Type="http://schemas.openxmlformats.org/officeDocument/2006/relationships/hyperlink" Target="consultantplus://offline/ref=5D920EC096F2E3AD0224B25A7B5EBB493FC11F08268690EFE19D592FC4A833BA1371AD68E11CF122B175E49D31C1F8E20EF5C713469C8363ZApAL" TargetMode="External"/><Relationship Id="rId17" Type="http://schemas.openxmlformats.org/officeDocument/2006/relationships/hyperlink" Target="consultantplus://offline/ref=5D920EC096F2E3AD0224B25A7B5EBB493FC1180F2B8590EFE19D592FC4A833BA1371AD6AE21DFB76E43AE5C17491EBE30EF5C51659Z9p7L" TargetMode="External"/><Relationship Id="rId25" Type="http://schemas.openxmlformats.org/officeDocument/2006/relationships/hyperlink" Target="consultantplus://offline/ref=5D920EC096F2E3AD0224B25A7B5EBB493FC11F08268690EFE19D592FC4A833BA1371AD68E11CF322B675E49D31C1F8E20EF5C713469C8363ZAp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920EC096F2E3AD0224B25A7B5EBB493FC1180F2B8590EFE19D592FC4A833BA1371AD68E11DF927B375E49D31C1F8E20EF5C713469C8363ZApAL" TargetMode="External"/><Relationship Id="rId20" Type="http://schemas.openxmlformats.org/officeDocument/2006/relationships/hyperlink" Target="consultantplus://offline/ref=5D920EC096F2E3AD0224B25A7B5EBB493FC1180F2B8590EFE19D592FC4A833BA1371AD68E11DF72AB175E49D31C1F8E20EF5C713469C8363ZAp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920EC096F2E3AD0224B25A7B5EBB493FC11F08268690EFE19D592FC4A833BA0171F564E019EE22B060B2CC74Z9pDL" TargetMode="External"/><Relationship Id="rId11" Type="http://schemas.openxmlformats.org/officeDocument/2006/relationships/hyperlink" Target="consultantplus://offline/ref=5D920EC096F2E3AD0224B25A7B5EBB493FC11F08268690EFE19D592FC4A833BA1371AD68E11CF122B075E49D31C1F8E20EF5C713469C8363ZApAL" TargetMode="External"/><Relationship Id="rId24" Type="http://schemas.openxmlformats.org/officeDocument/2006/relationships/hyperlink" Target="consultantplus://offline/ref=5D920EC096F2E3AD0224B25A7B5EBB493FC11F08268690EFE19D592FC4A833BA1371AD68E11CF22BBC75E49D31C1F8E20EF5C713469C8363ZApA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D920EC096F2E3AD0224B25A7B5EBB493FC11F08268690EFE19D592FC4A833BA1371AD68E11CF322B475E49D31C1F8E20EF5C713469C8363ZApAL" TargetMode="External"/><Relationship Id="rId23" Type="http://schemas.openxmlformats.org/officeDocument/2006/relationships/hyperlink" Target="consultantplus://offline/ref=5D920EC096F2E3AD0224B25A7B5EBB493FC11F08268690EFE19D592FC4A833BA1371AD68E11CF322B575E49D31C1F8E20EF5C713469C8363ZApAL" TargetMode="External"/><Relationship Id="rId10" Type="http://schemas.openxmlformats.org/officeDocument/2006/relationships/hyperlink" Target="consultantplus://offline/ref=5D920EC096F2E3AD0224B25A7B5EBB493FC11F08268690EFE19D592FC4A833BA1371AD68E11CF123B175E49D31C1F8E20EF5C713469C8363ZApAL" TargetMode="External"/><Relationship Id="rId19" Type="http://schemas.openxmlformats.org/officeDocument/2006/relationships/hyperlink" Target="consultantplus://offline/ref=5D920EC096F2E3AD0224B25A7B5EBB493FC1180F2B8590EFE19D592FC4A833BA1371AD6BE917A473F12BBDCD708AF5E615E9C717Z5p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920EC096F2E3AD0224B25A7B5EBB493FC1180F2B8590EFE19D592FC4A833BA1371AD68E11CF420B275E49D31C1F8E20EF5C713469C8363ZApAL" TargetMode="External"/><Relationship Id="rId14" Type="http://schemas.openxmlformats.org/officeDocument/2006/relationships/hyperlink" Target="consultantplus://offline/ref=5D920EC096F2E3AD0224B25A7B5EBB493FC11F08268690EFE19D592FC4A833BA1371AD68E11CF120BD75E49D31C1F8E20EF5C713469C8363ZApAL" TargetMode="External"/><Relationship Id="rId22" Type="http://schemas.openxmlformats.org/officeDocument/2006/relationships/hyperlink" Target="consultantplus://offline/ref=5D920EC096F2E3AD0224B25A7B5EBB493FC11F08268690EFE19D592FC4A833BA1371AD68E11CF22BB275E49D31C1F8E20EF5C713469C8363ZApA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2019-05-15T11:41:00Z</dcterms:created>
  <dcterms:modified xsi:type="dcterms:W3CDTF">2019-05-15T11:41:00Z</dcterms:modified>
</cp:coreProperties>
</file>