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09" w:rsidRDefault="009E7F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7F09" w:rsidRDefault="009E7F09">
      <w:pPr>
        <w:pStyle w:val="ConsPlusNormal"/>
        <w:outlineLvl w:val="0"/>
      </w:pPr>
    </w:p>
    <w:p w:rsidR="009E7F09" w:rsidRDefault="009E7F0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возможности продления на 2021 г. положений, регулирующих изменение существенных условий контракта и списание начисленных поставщику (подрядчику, исполнителю) неустоек (штрафов, пеней).</w:t>
      </w:r>
    </w:p>
    <w:p w:rsidR="009E7F09" w:rsidRDefault="009E7F09">
      <w:pPr>
        <w:pStyle w:val="ConsPlusNormal"/>
      </w:pPr>
    </w:p>
    <w:p w:rsidR="009E7F09" w:rsidRDefault="009E7F09">
      <w:pPr>
        <w:pStyle w:val="ConsPlusNormal"/>
        <w:ind w:firstLine="540"/>
        <w:jc w:val="both"/>
      </w:pPr>
      <w:r>
        <w:rPr>
          <w:b/>
        </w:rPr>
        <w:t>Ответ:</w:t>
      </w:r>
    </w:p>
    <w:p w:rsidR="009E7F09" w:rsidRDefault="009E7F0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9E7F09" w:rsidRDefault="009E7F09">
      <w:pPr>
        <w:pStyle w:val="ConsPlusTitle"/>
        <w:jc w:val="center"/>
      </w:pPr>
    </w:p>
    <w:p w:rsidR="009E7F09" w:rsidRDefault="009E7F09">
      <w:pPr>
        <w:pStyle w:val="ConsPlusTitle"/>
        <w:jc w:val="center"/>
      </w:pPr>
      <w:r>
        <w:t>ПИСЬМО</w:t>
      </w:r>
    </w:p>
    <w:p w:rsidR="009E7F09" w:rsidRDefault="009E7F09">
      <w:pPr>
        <w:pStyle w:val="ConsPlusTitle"/>
        <w:jc w:val="center"/>
      </w:pPr>
      <w:r>
        <w:t>от 18 декабря 2020 г. N 24-03-06/111235</w:t>
      </w:r>
    </w:p>
    <w:p w:rsidR="009E7F09" w:rsidRDefault="009E7F09">
      <w:pPr>
        <w:pStyle w:val="ConsPlusNormal"/>
      </w:pPr>
    </w:p>
    <w:p w:rsidR="009E7F09" w:rsidRDefault="009E7F09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продления срока действия положений </w:t>
      </w:r>
      <w:hyperlink r:id="rId7" w:history="1">
        <w:r>
          <w:rPr>
            <w:color w:val="0000FF"/>
          </w:rPr>
          <w:t>части 42.1</w:t>
        </w:r>
      </w:hyperlink>
      <w:r>
        <w:t xml:space="preserve"> и </w:t>
      </w:r>
      <w:hyperlink r:id="rId8" w:history="1">
        <w:r>
          <w:rPr>
            <w:color w:val="0000FF"/>
          </w:rPr>
          <w:t>части 65 статьи 112</w:t>
        </w:r>
      </w:hyperlink>
      <w:r>
        <w:t xml:space="preserve"> Закона N 44-ФЗ</w:t>
      </w:r>
      <w:proofErr w:type="gramEnd"/>
      <w:r>
        <w:t xml:space="preserve"> на 2021 г., сообщает следующее.</w:t>
      </w:r>
    </w:p>
    <w:p w:rsidR="009E7F09" w:rsidRDefault="009E7F0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пункту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>Вместе с тем Департамент в рамках своей компетенции считает необходимым отметить следующее.</w:t>
      </w:r>
    </w:p>
    <w:p w:rsidR="009E7F09" w:rsidRDefault="009E7F0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части 65 статьи 112</w:t>
        </w:r>
      </w:hyperlink>
      <w:r>
        <w:t xml:space="preserve"> Закона N 44-ФЗ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</w:t>
      </w:r>
      <w:hyperlink r:id="rId12" w:history="1">
        <w:r>
          <w:rPr>
            <w:color w:val="0000FF"/>
          </w:rPr>
          <w:t>частью 24 статьи 22</w:t>
        </w:r>
      </w:hyperlink>
      <w:r>
        <w:t xml:space="preserve"> настоящего Федерального закона), и (или) размера аванса (если контрактом предусмотрена выплата аванса), если при его исполнении в связи с распространением новой коронавирусной инфекции</w:t>
      </w:r>
      <w:proofErr w:type="gramEnd"/>
      <w:r>
        <w:t>, 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 xml:space="preserve">Государственным или муниципальным заказчиком как получателем бюджетных средств предусмотренное указанной частью изменение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9E7F09" w:rsidRDefault="009E7F09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13" w:history="1">
        <w:r>
          <w:rPr>
            <w:color w:val="0000FF"/>
          </w:rPr>
          <w:t>частью 42.1 статьи 112</w:t>
        </w:r>
      </w:hyperlink>
      <w:r>
        <w:t xml:space="preserve"> Закона N 44-ФЗ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июля 2018 г. N 783 "Об осуществлении заказчиком</w:t>
      </w:r>
      <w:proofErr w:type="gramEnd"/>
      <w: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контрактом".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 xml:space="preserve">Вместе с тем считаем возможным отметить, что в соответствии со </w:t>
      </w:r>
      <w:hyperlink r:id="rId15" w:history="1">
        <w:r>
          <w:rPr>
            <w:color w:val="0000FF"/>
          </w:rPr>
          <w:t>статьей 425</w:t>
        </w:r>
      </w:hyperlink>
      <w:r>
        <w:t xml:space="preserve"> Гражданского кодекса Российской Федерации окончание срока действия договора не влечет прекращение обязательств по договору.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>Таким образом, если обязательства по контрактам не исполнены в полном объеме, формальное окончание срока действия контрактов не влечет прекращение обязательств.</w:t>
      </w:r>
    </w:p>
    <w:p w:rsidR="009E7F09" w:rsidRDefault="009E7F09">
      <w:pPr>
        <w:pStyle w:val="ConsPlusNormal"/>
        <w:spacing w:before="220"/>
        <w:ind w:firstLine="540"/>
        <w:jc w:val="both"/>
      </w:pPr>
      <w:r>
        <w:t xml:space="preserve">При этом необходимо отметить, что согласно </w:t>
      </w:r>
      <w:hyperlink r:id="rId16" w:history="1">
        <w:r>
          <w:rPr>
            <w:color w:val="0000FF"/>
          </w:rPr>
          <w:t>части 9 статьи 34</w:t>
        </w:r>
      </w:hyperlink>
      <w:r>
        <w:t xml:space="preserve"> Закона N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E7F09" w:rsidRDefault="009E7F09">
      <w:pPr>
        <w:pStyle w:val="ConsPlusNormal"/>
      </w:pPr>
    </w:p>
    <w:p w:rsidR="009E7F09" w:rsidRDefault="009E7F09">
      <w:pPr>
        <w:pStyle w:val="ConsPlusNormal"/>
        <w:jc w:val="right"/>
      </w:pPr>
      <w:r>
        <w:t>Заместитель директора Департамента</w:t>
      </w:r>
    </w:p>
    <w:p w:rsidR="009E7F09" w:rsidRDefault="009E7F09">
      <w:pPr>
        <w:pStyle w:val="ConsPlusNormal"/>
        <w:jc w:val="right"/>
      </w:pPr>
      <w:r>
        <w:t>Д.А.ГОТОВЦЕВ</w:t>
      </w:r>
    </w:p>
    <w:p w:rsidR="009E7F09" w:rsidRDefault="009E7F09">
      <w:pPr>
        <w:pStyle w:val="ConsPlusNormal"/>
      </w:pPr>
      <w:r>
        <w:t>18.12.2020</w:t>
      </w:r>
    </w:p>
    <w:p w:rsidR="009E7F09" w:rsidRDefault="009E7F09">
      <w:pPr>
        <w:pStyle w:val="ConsPlusNormal"/>
      </w:pPr>
    </w:p>
    <w:p w:rsidR="009E7F09" w:rsidRDefault="009E7F09">
      <w:pPr>
        <w:pStyle w:val="ConsPlusNormal"/>
      </w:pPr>
    </w:p>
    <w:p w:rsidR="009E7F09" w:rsidRDefault="009E7F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F70" w:rsidRDefault="007B4F70">
      <w:bookmarkStart w:id="0" w:name="_GoBack"/>
      <w:bookmarkEnd w:id="0"/>
    </w:p>
    <w:sectPr w:rsidR="007B4F70" w:rsidSect="0017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09"/>
    <w:rsid w:val="007B4F70"/>
    <w:rsid w:val="009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C9B0E04985022AEB0DED4A616F75992D090F3DE303C5DA870C5F11D8A38FA5FE50E0A3522CD9ECEC63AA650C6050788A7D524E88AED1BH" TargetMode="External"/><Relationship Id="rId13" Type="http://schemas.openxmlformats.org/officeDocument/2006/relationships/hyperlink" Target="consultantplus://offline/ref=E3CC9B0E04985022AEB0DED4A616F75992D090F3DE303C5DA870C5F11D8A38FA5FE50E0A3520CD9ECEC63AA650C6050788A7D524E88AED1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CC9B0E04985022AEB0DED4A616F75992D090F3DE303C5DA870C5F11D8A38FA5FE50E0A3520CD9ECEC63AA650C6050788A7D524E88AED1BH" TargetMode="External"/><Relationship Id="rId12" Type="http://schemas.openxmlformats.org/officeDocument/2006/relationships/hyperlink" Target="consultantplus://offline/ref=E3CC9B0E04985022AEB0DED4A616F75992D090F3DE303C5DA870C5F11D8A38FA5FE50E0A3222C59ECEC63AA650C6050788A7D524E88AED1B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CC9B0E04985022AEB0DED4A616F75992D090F3DE303C5DA870C5F11D8A38FA5FE50E0A3325C995939C2AA219910F1B8FBDCB22F68ADA78E11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CC9B0E04985022AEB0DED4A616F75992D090F3DE303C5DA870C5F11D8A38FA4DE556063122D3959E897CF35FEC15H" TargetMode="External"/><Relationship Id="rId11" Type="http://schemas.openxmlformats.org/officeDocument/2006/relationships/hyperlink" Target="consultantplus://offline/ref=E3CC9B0E04985022AEB0DED4A616F75992D090F3DE303C5DA870C5F11D8A38FA5FE50E0A3522CD9ECEC63AA650C6050788A7D524E88AED1B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3CC9B0E04985022AEB0DED4A616F75992D090F2DD303C5DA870C5F11D8A38FA5FE50E0A3327CD94989C2AA219910F1B8FBDCB22F68ADA78E111H" TargetMode="External"/><Relationship Id="rId10" Type="http://schemas.openxmlformats.org/officeDocument/2006/relationships/hyperlink" Target="consultantplus://offline/ref=E3CC9B0E04985022AEB0DED4A616F75992D090F0DF343C5DA870C5F11D8A38FA5FE50E023B2E99C4DEC273F15ADA021D96A1CB24EE1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C9B0E04985022AEB0DED4A616F75992D596F8D8353C5DA870C5F11D8A38FA5FE50E0A3325C895939C2AA219910F1B8FBDCB22F68ADA78E111H" TargetMode="External"/><Relationship Id="rId14" Type="http://schemas.openxmlformats.org/officeDocument/2006/relationships/hyperlink" Target="consultantplus://offline/ref=E3CC9B0E04985022AEB0DED4A616F75992D291F4D3343C5DA870C5F11D8A38FA5FE50E0A3325CD939D9C2AA219910F1B8FBDCB22F68ADA78E11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2021-04-27T07:53:00Z</dcterms:created>
  <dcterms:modified xsi:type="dcterms:W3CDTF">2021-04-27T07:53:00Z</dcterms:modified>
</cp:coreProperties>
</file>