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A8" w:rsidRDefault="009943A8">
      <w:pPr>
        <w:pStyle w:val="ConsPlusTitlePage"/>
      </w:pPr>
      <w:r>
        <w:t xml:space="preserve">Документ предоставлен </w:t>
      </w:r>
      <w:hyperlink r:id="rId5" w:history="1">
        <w:r>
          <w:rPr>
            <w:color w:val="0000FF"/>
          </w:rPr>
          <w:t>КонсультантПлюс</w:t>
        </w:r>
      </w:hyperlink>
      <w:r>
        <w:br/>
      </w:r>
    </w:p>
    <w:p w:rsidR="009943A8" w:rsidRDefault="009943A8">
      <w:pPr>
        <w:pStyle w:val="ConsPlusNormal"/>
        <w:jc w:val="both"/>
        <w:outlineLvl w:val="0"/>
      </w:pPr>
    </w:p>
    <w:p w:rsidR="009943A8" w:rsidRDefault="009943A8">
      <w:pPr>
        <w:pStyle w:val="ConsPlusTitle"/>
        <w:jc w:val="center"/>
      </w:pPr>
      <w:r>
        <w:t>ФЕДЕРАЛЬНАЯ АНТИМОНОПОЛЬНАЯ СЛУЖБА</w:t>
      </w:r>
    </w:p>
    <w:p w:rsidR="009943A8" w:rsidRDefault="009943A8">
      <w:pPr>
        <w:pStyle w:val="ConsPlusTitle"/>
        <w:jc w:val="center"/>
      </w:pPr>
    </w:p>
    <w:p w:rsidR="009943A8" w:rsidRDefault="009943A8">
      <w:pPr>
        <w:pStyle w:val="ConsPlusTitle"/>
        <w:jc w:val="center"/>
      </w:pPr>
      <w:r>
        <w:t>ПИСЬМО</w:t>
      </w:r>
    </w:p>
    <w:p w:rsidR="009943A8" w:rsidRDefault="009943A8">
      <w:pPr>
        <w:pStyle w:val="ConsPlusTitle"/>
        <w:jc w:val="center"/>
      </w:pPr>
      <w:r>
        <w:t>от 28 декабря 2018 г. N АК/108066/18</w:t>
      </w:r>
    </w:p>
    <w:p w:rsidR="009943A8" w:rsidRDefault="009943A8">
      <w:pPr>
        <w:pStyle w:val="ConsPlusTitle"/>
        <w:jc w:val="center"/>
      </w:pPr>
    </w:p>
    <w:p w:rsidR="009943A8" w:rsidRDefault="009943A8">
      <w:pPr>
        <w:pStyle w:val="ConsPlusTitle"/>
        <w:jc w:val="center"/>
      </w:pPr>
      <w:r>
        <w:t>О НАПРАВЛЕНИИ РАЗЪЯСНЕНИЙ</w:t>
      </w:r>
    </w:p>
    <w:p w:rsidR="009943A8" w:rsidRDefault="009943A8">
      <w:pPr>
        <w:pStyle w:val="ConsPlusNormal"/>
        <w:jc w:val="both"/>
      </w:pPr>
    </w:p>
    <w:p w:rsidR="009943A8" w:rsidRDefault="009943A8">
      <w:pPr>
        <w:pStyle w:val="ConsPlusNormal"/>
        <w:ind w:firstLine="540"/>
        <w:jc w:val="both"/>
      </w:pPr>
      <w:proofErr w:type="gramStart"/>
      <w:r>
        <w:t xml:space="preserve">Федеральная антимонопольная служба в целях обеспечения реализации </w:t>
      </w:r>
      <w:hyperlink r:id="rId6" w:history="1">
        <w:r>
          <w:rPr>
            <w:color w:val="0000FF"/>
          </w:rPr>
          <w:t>подпункта "б" пункта 1</w:t>
        </w:r>
      </w:hyperlink>
      <w:r>
        <w:t xml:space="preserve"> Национального плана развития конкуренции в Российской Федерации на 2018 - 2020 годы, утвержденного Указом Президента Российской Федерации от 21.12.2017 N 618, проанализировала практику применения за период времени с 01.01.2013 по 31.12.2017 антимонопольного законодательства в отношении органов государственной власти и местного самоуправления, иных организаций, осуществляющих функции указанных органов и участвующих в</w:t>
      </w:r>
      <w:proofErr w:type="gramEnd"/>
      <w:r>
        <w:t xml:space="preserve"> </w:t>
      </w:r>
      <w:proofErr w:type="gramStart"/>
      <w:r>
        <w:t>предоставлении государственных или муниципальных услуг, а также государственных внебюджетных фондов, действия которых привели (могли привести) к ограничению конкуренции на рынке финансовых услуг, и направляет для использования в работе настоящие разъяснения.</w:t>
      </w:r>
      <w:proofErr w:type="gramEnd"/>
    </w:p>
    <w:p w:rsidR="009943A8" w:rsidRDefault="009943A8">
      <w:pPr>
        <w:pStyle w:val="ConsPlusNormal"/>
        <w:spacing w:before="220"/>
        <w:ind w:firstLine="540"/>
        <w:jc w:val="both"/>
      </w:pPr>
      <w:r>
        <w:t>Результаты указанного анализа показали, что нарушения (признаки нарушения) &lt;1&gt; антимонопольного законодательства выразились, в том числе в следующих действиях соответствующих лиц:</w:t>
      </w:r>
    </w:p>
    <w:p w:rsidR="009943A8" w:rsidRDefault="009943A8">
      <w:pPr>
        <w:pStyle w:val="ConsPlusNormal"/>
        <w:spacing w:before="220"/>
        <w:ind w:firstLine="540"/>
        <w:jc w:val="both"/>
      </w:pPr>
      <w:r>
        <w:t>--------------------------------</w:t>
      </w:r>
    </w:p>
    <w:p w:rsidR="009943A8" w:rsidRDefault="009943A8">
      <w:pPr>
        <w:pStyle w:val="ConsPlusNormal"/>
        <w:spacing w:before="220"/>
        <w:ind w:firstLine="540"/>
        <w:jc w:val="both"/>
      </w:pPr>
      <w:r>
        <w:t>&lt;1</w:t>
      </w:r>
      <w:proofErr w:type="gramStart"/>
      <w:r>
        <w:t>&gt; В</w:t>
      </w:r>
      <w:proofErr w:type="gramEnd"/>
      <w:r>
        <w:t xml:space="preserve"> соответствии с </w:t>
      </w:r>
      <w:hyperlink r:id="rId7" w:history="1">
        <w:r>
          <w:rPr>
            <w:color w:val="0000FF"/>
          </w:rPr>
          <w:t>частью 2 статьи 39.1</w:t>
        </w:r>
      </w:hyperlink>
      <w:r>
        <w:t xml:space="preserve"> Федерального закона от 26.07.2006 N 135-ФЗ "О защите конкуренции" в случае выявления признаков нарушения </w:t>
      </w:r>
      <w:hyperlink r:id="rId8" w:history="1">
        <w:r>
          <w:rPr>
            <w:color w:val="0000FF"/>
          </w:rPr>
          <w:t>пунктов 3</w:t>
        </w:r>
      </w:hyperlink>
      <w:r>
        <w:t xml:space="preserve">, </w:t>
      </w:r>
      <w:hyperlink r:id="rId9" w:history="1">
        <w:r>
          <w:rPr>
            <w:color w:val="0000FF"/>
          </w:rPr>
          <w:t>5</w:t>
        </w:r>
      </w:hyperlink>
      <w:r>
        <w:t xml:space="preserve">, </w:t>
      </w:r>
      <w:hyperlink r:id="rId10" w:history="1">
        <w:r>
          <w:rPr>
            <w:color w:val="0000FF"/>
          </w:rPr>
          <w:t>6</w:t>
        </w:r>
      </w:hyperlink>
      <w:r>
        <w:t xml:space="preserve"> и </w:t>
      </w:r>
      <w:hyperlink r:id="rId11" w:history="1">
        <w:r>
          <w:rPr>
            <w:color w:val="0000FF"/>
          </w:rPr>
          <w:t>8 части 1 статьи 10</w:t>
        </w:r>
      </w:hyperlink>
      <w:r>
        <w:t xml:space="preserve">, </w:t>
      </w:r>
      <w:hyperlink r:id="rId12" w:history="1">
        <w:r>
          <w:rPr>
            <w:color w:val="0000FF"/>
          </w:rPr>
          <w:t>статей 14.1</w:t>
        </w:r>
      </w:hyperlink>
      <w:r>
        <w:t xml:space="preserve"> - </w:t>
      </w:r>
      <w:hyperlink r:id="rId13" w:history="1">
        <w:r>
          <w:rPr>
            <w:color w:val="0000FF"/>
          </w:rPr>
          <w:t>14.3</w:t>
        </w:r>
      </w:hyperlink>
      <w:r>
        <w:t xml:space="preserve">, </w:t>
      </w:r>
      <w:hyperlink r:id="rId14" w:history="1">
        <w:r>
          <w:rPr>
            <w:color w:val="0000FF"/>
          </w:rPr>
          <w:t>14.7</w:t>
        </w:r>
      </w:hyperlink>
      <w:r>
        <w:t xml:space="preserve">, </w:t>
      </w:r>
      <w:hyperlink r:id="rId15" w:history="1">
        <w:r>
          <w:rPr>
            <w:color w:val="0000FF"/>
          </w:rPr>
          <w:t>14.8</w:t>
        </w:r>
      </w:hyperlink>
      <w:r>
        <w:t xml:space="preserve"> и </w:t>
      </w:r>
      <w:hyperlink r:id="rId16" w:history="1">
        <w:r>
          <w:rPr>
            <w:color w:val="0000FF"/>
          </w:rPr>
          <w:t>15</w:t>
        </w:r>
      </w:hyperlink>
      <w:r>
        <w:t xml:space="preserve"> названного закона лицам, указанным в </w:t>
      </w:r>
      <w:hyperlink r:id="rId17" w:history="1">
        <w:r>
          <w:rPr>
            <w:color w:val="0000FF"/>
          </w:rPr>
          <w:t>части 1 статьи 39.1</w:t>
        </w:r>
      </w:hyperlink>
      <w:r>
        <w:t xml:space="preserve"> этого закона, выдается предупреждение о прекращении действий (бездействия), которые содержат признаки нарушения антимонопольного законодательства.</w:t>
      </w:r>
    </w:p>
    <w:p w:rsidR="009943A8" w:rsidRDefault="009943A8">
      <w:pPr>
        <w:pStyle w:val="ConsPlusNormal"/>
        <w:jc w:val="both"/>
      </w:pPr>
    </w:p>
    <w:p w:rsidR="009943A8" w:rsidRDefault="009943A8">
      <w:pPr>
        <w:pStyle w:val="ConsPlusNormal"/>
        <w:ind w:firstLine="540"/>
        <w:jc w:val="both"/>
      </w:pPr>
      <w:r>
        <w:t xml:space="preserve">- </w:t>
      </w:r>
      <w:proofErr w:type="gramStart"/>
      <w:r>
        <w:t>оказании</w:t>
      </w:r>
      <w:proofErr w:type="gramEnd"/>
      <w:r>
        <w:t xml:space="preserve"> многофункциональным центром непредусмотренных законодательством услуг;</w:t>
      </w:r>
    </w:p>
    <w:p w:rsidR="009943A8" w:rsidRDefault="009943A8">
      <w:pPr>
        <w:pStyle w:val="ConsPlusNormal"/>
        <w:spacing w:before="220"/>
        <w:ind w:firstLine="540"/>
        <w:jc w:val="both"/>
      </w:pPr>
      <w:r>
        <w:t xml:space="preserve">- </w:t>
      </w:r>
      <w:proofErr w:type="gramStart"/>
      <w:r>
        <w:t>заключении</w:t>
      </w:r>
      <w:proofErr w:type="gramEnd"/>
      <w:r>
        <w:t xml:space="preserve"> антиконкурентных соглашений;</w:t>
      </w:r>
    </w:p>
    <w:p w:rsidR="009943A8" w:rsidRDefault="009943A8">
      <w:pPr>
        <w:pStyle w:val="ConsPlusNormal"/>
        <w:spacing w:before="220"/>
        <w:ind w:firstLine="540"/>
        <w:jc w:val="both"/>
      </w:pPr>
      <w:r>
        <w:t xml:space="preserve">- </w:t>
      </w:r>
      <w:proofErr w:type="gramStart"/>
      <w:r>
        <w:t>проведении</w:t>
      </w:r>
      <w:proofErr w:type="gramEnd"/>
      <w:r>
        <w:t xml:space="preserve"> непредусмотренных законодательством торгов;</w:t>
      </w:r>
    </w:p>
    <w:p w:rsidR="009943A8" w:rsidRDefault="009943A8">
      <w:pPr>
        <w:pStyle w:val="ConsPlusNormal"/>
        <w:spacing w:before="220"/>
        <w:ind w:firstLine="540"/>
        <w:jc w:val="both"/>
      </w:pPr>
      <w:r>
        <w:t xml:space="preserve">- </w:t>
      </w:r>
      <w:proofErr w:type="gramStart"/>
      <w:r>
        <w:t>препятствовании</w:t>
      </w:r>
      <w:proofErr w:type="gramEnd"/>
      <w:r>
        <w:t xml:space="preserve"> в реализации гражданами права выбора организации для получения пенсий и иных социальных выплат;</w:t>
      </w:r>
    </w:p>
    <w:p w:rsidR="009943A8" w:rsidRDefault="009943A8">
      <w:pPr>
        <w:pStyle w:val="ConsPlusNormal"/>
        <w:spacing w:before="220"/>
        <w:ind w:firstLine="540"/>
        <w:jc w:val="both"/>
      </w:pPr>
      <w:r>
        <w:t xml:space="preserve">- </w:t>
      </w:r>
      <w:proofErr w:type="gramStart"/>
      <w:r>
        <w:t>установлении</w:t>
      </w:r>
      <w:proofErr w:type="gramEnd"/>
      <w:r>
        <w:t xml:space="preserve"> дополнительных непредусмотренных законодательством требований к кредитным организациям для участия в конкурсе на размещение средств;</w:t>
      </w:r>
    </w:p>
    <w:p w:rsidR="009943A8" w:rsidRDefault="009943A8">
      <w:pPr>
        <w:pStyle w:val="ConsPlusNormal"/>
        <w:spacing w:before="220"/>
        <w:ind w:firstLine="540"/>
        <w:jc w:val="both"/>
      </w:pPr>
      <w:r>
        <w:t xml:space="preserve">- </w:t>
      </w:r>
      <w:proofErr w:type="gramStart"/>
      <w:r>
        <w:t>направлении</w:t>
      </w:r>
      <w:proofErr w:type="gramEnd"/>
      <w:r>
        <w:t xml:space="preserve"> подведомственным учреждениям указания о необходимости перехода на обслуживание зарплатного проекта в определенную кредитную организацию и необходимости заключения договоров о проведении безналичных расчетов с работниками с этой кредитной организации.</w:t>
      </w:r>
    </w:p>
    <w:p w:rsidR="009943A8" w:rsidRDefault="009943A8">
      <w:pPr>
        <w:pStyle w:val="ConsPlusNormal"/>
        <w:spacing w:before="220"/>
        <w:ind w:firstLine="540"/>
        <w:jc w:val="both"/>
      </w:pPr>
      <w:proofErr w:type="gramStart"/>
      <w:r>
        <w:t xml:space="preserve">В связи с этим в части оказания многофункциональным центром непредусмотренных законодательством услуг необходимо отметить, что </w:t>
      </w:r>
      <w:hyperlink r:id="rId18" w:history="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(далее - Правила), предусмотрен закрытый перечень услуг, оказываемых на территориях многофункциональных центров, а оказание непредусмотренных </w:t>
      </w:r>
      <w:hyperlink r:id="rId19" w:history="1">
        <w:r>
          <w:rPr>
            <w:color w:val="0000FF"/>
          </w:rPr>
          <w:t>Правилами</w:t>
        </w:r>
      </w:hyperlink>
      <w:r>
        <w:t xml:space="preserve"> услуг так же, как и заключение договоров на распространение таких услуг</w:t>
      </w:r>
      <w:proofErr w:type="gramEnd"/>
      <w:r>
        <w:t xml:space="preserve">, на территориях многофункциональных </w:t>
      </w:r>
      <w:r>
        <w:lastRenderedPageBreak/>
        <w:t>центров может содержать признаки нарушения антимонопольного законодательства.</w:t>
      </w:r>
    </w:p>
    <w:p w:rsidR="009943A8" w:rsidRDefault="009943A8">
      <w:pPr>
        <w:pStyle w:val="ConsPlusNormal"/>
        <w:spacing w:before="220"/>
        <w:ind w:firstLine="540"/>
        <w:jc w:val="both"/>
      </w:pPr>
      <w:proofErr w:type="gramStart"/>
      <w:r>
        <w:t xml:space="preserve">Так, одному из многофункциональных центров, заключившему с индивидуальным предпринимателем субагентский договор на распространение услуг по обязательному страхованию гражданской ответственности владельцев транспортных средств, в связи с наличием в указанных действиях признаков нарушения </w:t>
      </w:r>
      <w:hyperlink r:id="rId20" w:history="1">
        <w:r>
          <w:rPr>
            <w:color w:val="0000FF"/>
          </w:rPr>
          <w:t>части 1 статьи 15</w:t>
        </w:r>
      </w:hyperlink>
      <w:r>
        <w:t xml:space="preserve"> Федерального закона от 26.07.2006 N 135-ФЗ "О защите конкуренции" (далее - Закон о защите конкуренции) было выдано предупреждение о необходимости совершения действий, направленных на расторжение этого</w:t>
      </w:r>
      <w:proofErr w:type="gramEnd"/>
      <w:r>
        <w:t xml:space="preserve"> субагентского договора, а также о необходимости приведения деятельности в соответствие с </w:t>
      </w:r>
      <w:hyperlink r:id="rId21" w:history="1">
        <w:r>
          <w:rPr>
            <w:color w:val="0000FF"/>
          </w:rPr>
          <w:t>Правилами</w:t>
        </w:r>
      </w:hyperlink>
      <w:r>
        <w:t>, поскольку исполнение обязательств по такому договору могло привести к ограничению конкуренции на рынке страховых услуг.</w:t>
      </w:r>
    </w:p>
    <w:p w:rsidR="009943A8" w:rsidRDefault="009943A8">
      <w:pPr>
        <w:pStyle w:val="ConsPlusNormal"/>
        <w:spacing w:before="220"/>
        <w:ind w:firstLine="540"/>
        <w:jc w:val="both"/>
      </w:pPr>
      <w:proofErr w:type="gramStart"/>
      <w:r>
        <w:t xml:space="preserve">В части заключения антиконкурентных соглашений необходимо отметить, что в некоторых случаях с учетом конкретных обстоятельств действия органов государственной власти и местного самоуправления, иных организаций, осуществляющих функции указанных органов и участвующих в предоставлении государственных или муниципальных услуг, а также государственных внебюджетных фондов могут содержать признаки нарушения </w:t>
      </w:r>
      <w:hyperlink r:id="rId22" w:history="1">
        <w:r>
          <w:rPr>
            <w:color w:val="0000FF"/>
          </w:rPr>
          <w:t>статьи 16</w:t>
        </w:r>
      </w:hyperlink>
      <w:r>
        <w:t xml:space="preserve"> Закона о защите конкуренции.</w:t>
      </w:r>
      <w:proofErr w:type="gramEnd"/>
    </w:p>
    <w:p w:rsidR="009943A8" w:rsidRDefault="009943A8">
      <w:pPr>
        <w:pStyle w:val="ConsPlusNormal"/>
        <w:spacing w:before="220"/>
        <w:ind w:firstLine="540"/>
        <w:jc w:val="both"/>
      </w:pPr>
      <w:proofErr w:type="gramStart"/>
      <w:r>
        <w:t>Так, к примеру, в рамках рассмотрения одного из дел было выявлено, что департамент здравоохранения одного из субъектов Российской Федерации, территориальный фонд обязательного медицинского страхования, а также ряд страховых организаций заключили тарифное соглашение на оплату медицинской помощи, оказываемой по территориальной программе обязательного медицинского страхования, реализация которого привела к необоснованному отказу в выделении объемов оказания медицинской помощи медицинской организации одной из страховых</w:t>
      </w:r>
      <w:proofErr w:type="gramEnd"/>
      <w:r>
        <w:t xml:space="preserve"> организаций, что, в свою очередь, привело к ограничению конкуренции на рынке страховых услуг. По итогам рассмотрения этого дела указанные организации были признаны нарушившими </w:t>
      </w:r>
      <w:hyperlink r:id="rId23" w:history="1">
        <w:r>
          <w:rPr>
            <w:color w:val="0000FF"/>
          </w:rPr>
          <w:t>пункты 3</w:t>
        </w:r>
      </w:hyperlink>
      <w:r>
        <w:t xml:space="preserve">, </w:t>
      </w:r>
      <w:hyperlink r:id="rId24" w:history="1">
        <w:r>
          <w:rPr>
            <w:color w:val="0000FF"/>
          </w:rPr>
          <w:t>4 статьи 16</w:t>
        </w:r>
      </w:hyperlink>
      <w:r>
        <w:t xml:space="preserve"> Закона о защите конкуренции.</w:t>
      </w:r>
    </w:p>
    <w:p w:rsidR="009943A8" w:rsidRDefault="009943A8">
      <w:pPr>
        <w:pStyle w:val="ConsPlusNormal"/>
        <w:spacing w:before="220"/>
        <w:ind w:firstLine="540"/>
        <w:jc w:val="both"/>
      </w:pPr>
      <w:r>
        <w:t>В части обеспечения конкуренции при получении гражданами выплат из бюджетной системы и государственных внебюджетных фондов ФАС России обращает внимание на следующее.</w:t>
      </w:r>
    </w:p>
    <w:p w:rsidR="009943A8" w:rsidRDefault="009943A8">
      <w:pPr>
        <w:pStyle w:val="ConsPlusNormal"/>
        <w:spacing w:before="220"/>
        <w:ind w:firstLine="540"/>
        <w:jc w:val="both"/>
      </w:pPr>
      <w:proofErr w:type="gramStart"/>
      <w:r>
        <w:t xml:space="preserve">Порядок и условия осуществления разного рода выплат гражданам, в том числе, социального характера, регулируются специальными законодательными и иными нормативными правовыми актами, к числу которых можно отнести, например, </w:t>
      </w:r>
      <w:hyperlink r:id="rId25" w:history="1">
        <w:r>
          <w:rPr>
            <w:color w:val="0000FF"/>
          </w:rPr>
          <w:t>Закон</w:t>
        </w:r>
      </w:hyperlink>
      <w:r>
        <w:t xml:space="preserve"> Российской Федерации от 19.04.1991 N 1032-1 "О занятости населения в Российской Федерации", Федеральный </w:t>
      </w:r>
      <w:hyperlink r:id="rId26" w:history="1">
        <w:r>
          <w:rPr>
            <w:color w:val="0000FF"/>
          </w:rPr>
          <w:t>закон</w:t>
        </w:r>
      </w:hyperlink>
      <w:r>
        <w:t xml:space="preserve"> от 17.07.1999 N 178-ФЗ "О государственной социальной помощи", Федеральный </w:t>
      </w:r>
      <w:hyperlink r:id="rId27" w:history="1">
        <w:r>
          <w:rPr>
            <w:color w:val="0000FF"/>
          </w:rPr>
          <w:t>закон</w:t>
        </w:r>
      </w:hyperlink>
      <w:r>
        <w:t xml:space="preserve"> от 29.12.2006 N 255-ФЗ "Об обязательном социальном страховании</w:t>
      </w:r>
      <w:proofErr w:type="gramEnd"/>
      <w:r>
        <w:t xml:space="preserve"> на случай временной нетрудоспособности и в связи с материнством" и Федеральный </w:t>
      </w:r>
      <w:hyperlink r:id="rId28" w:history="1">
        <w:r>
          <w:rPr>
            <w:color w:val="0000FF"/>
          </w:rPr>
          <w:t>закон</w:t>
        </w:r>
      </w:hyperlink>
      <w:r>
        <w:t xml:space="preserve"> от 28.12.2013 N 400-ФЗ "О страховых пенсиях" (далее - Закон о страховых пенсиях).</w:t>
      </w:r>
    </w:p>
    <w:p w:rsidR="009943A8" w:rsidRDefault="009943A8">
      <w:pPr>
        <w:pStyle w:val="ConsPlusNormal"/>
        <w:spacing w:before="220"/>
        <w:ind w:firstLine="540"/>
        <w:jc w:val="both"/>
      </w:pPr>
      <w:r>
        <w:t>Названные и иные аналогичные акты, как правило, не содержат ограничений для граждан в части возможности выбора способа получения социальных и иных выплат, а также непосредственно хозяйствующих субъектов, с использованием услуг которых такие выплаты могут быть ими получены.</w:t>
      </w:r>
    </w:p>
    <w:p w:rsidR="009943A8" w:rsidRDefault="009943A8">
      <w:pPr>
        <w:pStyle w:val="ConsPlusNormal"/>
        <w:spacing w:before="220"/>
        <w:ind w:firstLine="540"/>
        <w:jc w:val="both"/>
      </w:pPr>
      <w:proofErr w:type="gramStart"/>
      <w:r>
        <w:t xml:space="preserve">С учетом изложенного, а также того, что именно граждане являются потребителями рассматриваемых услуг при получении социальных выплат, граждане в соответствии с установленным </w:t>
      </w:r>
      <w:hyperlink r:id="rId29" w:history="1">
        <w:r>
          <w:rPr>
            <w:color w:val="0000FF"/>
          </w:rPr>
          <w:t>Конституцией</w:t>
        </w:r>
      </w:hyperlink>
      <w:r>
        <w:t xml:space="preserve"> Российской Федерации и Гражданским </w:t>
      </w:r>
      <w:hyperlink r:id="rId30" w:history="1">
        <w:r>
          <w:rPr>
            <w:color w:val="0000FF"/>
          </w:rPr>
          <w:t>кодексом</w:t>
        </w:r>
      </w:hyperlink>
      <w:r>
        <w:t xml:space="preserve"> Российской Федерации принципом свободы договора вправе по собственному усмотрению определять конкретные организации для заключения договора об оказании таких услуг.</w:t>
      </w:r>
      <w:proofErr w:type="gramEnd"/>
      <w:r>
        <w:t xml:space="preserve"> Важно обратить внимание на то, что такие услуги могут оказывать не только кредитные организации, но и организации федеральной почтовой связи и иные организации, осуществляющие услуги по доставке соответствующих выплат.</w:t>
      </w:r>
    </w:p>
    <w:p w:rsidR="009943A8" w:rsidRDefault="009943A8">
      <w:pPr>
        <w:pStyle w:val="ConsPlusNormal"/>
        <w:spacing w:before="220"/>
        <w:ind w:firstLine="540"/>
        <w:jc w:val="both"/>
      </w:pPr>
      <w:r>
        <w:lastRenderedPageBreak/>
        <w:t>Вместе с тем имеющаяся практика в данной части показывает, что в ряде случаев органы, осуществляющие функции по выплате таких средств, навязывают гражданам определенные кредитные организации либо не предоставляют гражданам права на полный выбор организаций, через которые могут быть получены различные пособия.</w:t>
      </w:r>
    </w:p>
    <w:p w:rsidR="009943A8" w:rsidRDefault="009943A8">
      <w:pPr>
        <w:pStyle w:val="ConsPlusNormal"/>
        <w:spacing w:before="220"/>
        <w:ind w:firstLine="540"/>
        <w:jc w:val="both"/>
      </w:pPr>
      <w:proofErr w:type="gramStart"/>
      <w:r>
        <w:t xml:space="preserve">В ряде субъектов Российской Федерации подобные ограничения связаны с тем, что такие органы и организации проводят конкурсные отборы кредитных организаций на право заключения государственного контракта об оказании услуг по перечислению и зачислению на счета граждан денежных выплат указывая в качестве основания для проведения соответствующих отборов нормы Федерального </w:t>
      </w:r>
      <w:hyperlink r:id="rId31" w:history="1">
        <w:r>
          <w:rPr>
            <w:color w:val="0000FF"/>
          </w:rPr>
          <w:t>закона</w:t>
        </w:r>
      </w:hyperlink>
      <w:r>
        <w:t xml:space="preserve"> от 05.04.2013 N 44-ФЗ "О контрактной системе в сфере закупок товаров, работ</w:t>
      </w:r>
      <w:proofErr w:type="gramEnd"/>
      <w:r>
        <w:t xml:space="preserve">, услуг для обеспечения государственных и муниципальных нужд" (далее - Закон N 44-ФЗ), а также положения </w:t>
      </w:r>
      <w:hyperlink r:id="rId32" w:history="1">
        <w:r>
          <w:rPr>
            <w:color w:val="0000FF"/>
          </w:rPr>
          <w:t>статьи 18</w:t>
        </w:r>
      </w:hyperlink>
      <w:r>
        <w:t xml:space="preserve"> Закона о защите конкуренции.</w:t>
      </w:r>
    </w:p>
    <w:p w:rsidR="009943A8" w:rsidRDefault="009943A8">
      <w:pPr>
        <w:pStyle w:val="ConsPlusNormal"/>
        <w:spacing w:before="220"/>
        <w:ind w:firstLine="540"/>
        <w:jc w:val="both"/>
      </w:pPr>
      <w:proofErr w:type="gramStart"/>
      <w:r>
        <w:t xml:space="preserve">В связи с этим ФАС России обращает внимание, что согласно </w:t>
      </w:r>
      <w:hyperlink r:id="rId33" w:history="1">
        <w:r>
          <w:rPr>
            <w:color w:val="0000FF"/>
          </w:rPr>
          <w:t>статье 18</w:t>
        </w:r>
      </w:hyperlink>
      <w:r>
        <w:t xml:space="preserve"> Закона о защите конкуренции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w:t>
      </w:r>
      <w:hyperlink r:id="rId34" w:history="1">
        <w:r>
          <w:rPr>
            <w:color w:val="0000FF"/>
          </w:rPr>
          <w:t>Закона</w:t>
        </w:r>
      </w:hyperlink>
      <w:r>
        <w:t xml:space="preserve"> N 44-ФЗ, для оказания непосредственно</w:t>
      </w:r>
      <w:proofErr w:type="gramEnd"/>
      <w:r>
        <w:t xml:space="preserve"> таким органам и фондам, в том числе, услуг по открытию им и ведению банковских счетов, а также осуществлению расчетов по этим счетам.</w:t>
      </w:r>
    </w:p>
    <w:p w:rsidR="009943A8" w:rsidRDefault="009943A8">
      <w:pPr>
        <w:pStyle w:val="ConsPlusNormal"/>
        <w:spacing w:before="220"/>
        <w:ind w:firstLine="540"/>
        <w:jc w:val="both"/>
      </w:pPr>
      <w:r>
        <w:t xml:space="preserve">Требования </w:t>
      </w:r>
      <w:hyperlink r:id="rId35" w:history="1">
        <w:r>
          <w:rPr>
            <w:color w:val="0000FF"/>
          </w:rPr>
          <w:t>статьи 18</w:t>
        </w:r>
      </w:hyperlink>
      <w:r>
        <w:t xml:space="preserve"> Закона о защите конкуренции распространяются на исчерпывающий перечень лиц, в который граждане не входят. Граждане, как указывалось ранее, вправе самостоятельно выбирать кредитную организацию для открытия счета, на который будут зачисляться соответствующие денежные средства. Таким образом, положения </w:t>
      </w:r>
      <w:hyperlink r:id="rId36" w:history="1">
        <w:r>
          <w:rPr>
            <w:color w:val="0000FF"/>
          </w:rPr>
          <w:t>статьи 18</w:t>
        </w:r>
      </w:hyperlink>
      <w:r>
        <w:t xml:space="preserve"> Закона о защите конкуренции не применяются в рассматриваемом случае.</w:t>
      </w:r>
    </w:p>
    <w:p w:rsidR="009943A8" w:rsidRDefault="009943A8">
      <w:pPr>
        <w:pStyle w:val="ConsPlusNormal"/>
        <w:spacing w:before="220"/>
        <w:ind w:firstLine="540"/>
        <w:jc w:val="both"/>
      </w:pPr>
      <w:proofErr w:type="gramStart"/>
      <w:r>
        <w:t xml:space="preserve">Учитывая же отсутствие в законодательстве норм, указывающих на возможность выбора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организаций для оказания гражданам услуг по перечислению на их счета социальных и иных выплат, отнесение подобных услуг к государственным нуждам и, как следствие, применение </w:t>
      </w:r>
      <w:hyperlink r:id="rId37" w:history="1">
        <w:r>
          <w:rPr>
            <w:color w:val="0000FF"/>
          </w:rPr>
          <w:t>Закона</w:t>
        </w:r>
      </w:hyperlink>
      <w:r>
        <w:t xml:space="preserve"> N 44-ФЗ, по мнению ФАС России, также невозможно, поскольку</w:t>
      </w:r>
      <w:proofErr w:type="gramEnd"/>
      <w:r>
        <w:t xml:space="preserve"> в соответствии со </w:t>
      </w:r>
      <w:hyperlink r:id="rId38" w:history="1">
        <w:r>
          <w:rPr>
            <w:color w:val="0000FF"/>
          </w:rPr>
          <w:t>статьей 1</w:t>
        </w:r>
      </w:hyperlink>
      <w:r>
        <w:t xml:space="preserve"> и иными положениями этого закона он регулирует правоотношения, связанные с исключительно закупкой товаров, (работ, услуг) для обеспечения государственных и муниципальных нужд.</w:t>
      </w:r>
    </w:p>
    <w:p w:rsidR="009943A8" w:rsidRDefault="009943A8">
      <w:pPr>
        <w:pStyle w:val="ConsPlusNormal"/>
        <w:spacing w:before="220"/>
        <w:ind w:firstLine="540"/>
        <w:jc w:val="both"/>
      </w:pPr>
      <w:proofErr w:type="gramStart"/>
      <w:r>
        <w:t>Проведенный ФАС России анализ показал, что, по сути, проведение конкурсных процедур и заключение государственных контрактов влечет исключительно компенсацию расходов на совершение операций зачисления социальных выплат на банковские счета одной из кредитных организаций, услугами которых для получения выплат могут пользоваться граждане; операции перечисления денежных средств из бюджета на счета граждан такими кредитными организациями не осуществляются.</w:t>
      </w:r>
      <w:proofErr w:type="gramEnd"/>
    </w:p>
    <w:p w:rsidR="009943A8" w:rsidRDefault="009943A8">
      <w:pPr>
        <w:pStyle w:val="ConsPlusNormal"/>
        <w:spacing w:before="220"/>
        <w:ind w:firstLine="540"/>
        <w:jc w:val="both"/>
      </w:pPr>
      <w:proofErr w:type="gramStart"/>
      <w:r>
        <w:t xml:space="preserve">В соответствии с </w:t>
      </w:r>
      <w:hyperlink r:id="rId39" w:history="1">
        <w:r>
          <w:rPr>
            <w:color w:val="0000FF"/>
          </w:rPr>
          <w:t>частью 1 статьи 15</w:t>
        </w:r>
      </w:hyperlink>
      <w:r>
        <w:t xml:space="preserve"> Закона о защите конкуренции, в том числе, органам государственной власти субъектов Российской Федерации и организациям, осуществляющим функции указанных органов,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w:t>
      </w:r>
      <w:proofErr w:type="gramEnd"/>
    </w:p>
    <w:p w:rsidR="009943A8" w:rsidRDefault="009943A8">
      <w:pPr>
        <w:pStyle w:val="ConsPlusNormal"/>
        <w:spacing w:before="220"/>
        <w:ind w:firstLine="540"/>
        <w:jc w:val="both"/>
      </w:pPr>
      <w:proofErr w:type="gramStart"/>
      <w:r>
        <w:t xml:space="preserve">По мнению ФАС России, проведение непредусмотренных законодательством торгов по выбору организации в целях заключения контракта на оказание услуг по обеспечению перечисления социальных и иных выплат с учетом конкретных обстоятельств может привести к ограничению конкуренции на соответствующем товарном рынке, в том числе путем создания </w:t>
      </w:r>
      <w:r>
        <w:lastRenderedPageBreak/>
        <w:t xml:space="preserve">преимущественных условий осуществления деятельности организации - победителю торгов, и быть признано нарушением </w:t>
      </w:r>
      <w:hyperlink r:id="rId40" w:history="1">
        <w:r>
          <w:rPr>
            <w:color w:val="0000FF"/>
          </w:rPr>
          <w:t>части 1 статьи 15</w:t>
        </w:r>
      </w:hyperlink>
      <w:r>
        <w:t xml:space="preserve"> Закона о</w:t>
      </w:r>
      <w:proofErr w:type="gramEnd"/>
      <w:r>
        <w:t xml:space="preserve"> защите конкуренции.</w:t>
      </w:r>
    </w:p>
    <w:p w:rsidR="009943A8" w:rsidRDefault="009943A8">
      <w:pPr>
        <w:pStyle w:val="ConsPlusNormal"/>
        <w:spacing w:before="220"/>
        <w:ind w:firstLine="540"/>
        <w:jc w:val="both"/>
      </w:pPr>
      <w:r>
        <w:t xml:space="preserve">Необходимо отметить, что позиция ФАС России о недопустимости проведения конкурсного отбора организации в случаях, когда право выбора соответствующей организации закреплено за гражданином, уже использовалась в рамках рассмотрения одного из дел о нарушении антимонопольного законодательства, по итогам рассмотрения которого ответчик был признан нарушившим </w:t>
      </w:r>
      <w:hyperlink r:id="rId41" w:history="1">
        <w:r>
          <w:rPr>
            <w:color w:val="0000FF"/>
          </w:rPr>
          <w:t>часть 1 статьи 15</w:t>
        </w:r>
      </w:hyperlink>
      <w:r>
        <w:t xml:space="preserve"> Закона о защите конкуренции.</w:t>
      </w:r>
    </w:p>
    <w:p w:rsidR="009943A8" w:rsidRDefault="009943A8">
      <w:pPr>
        <w:pStyle w:val="ConsPlusNormal"/>
        <w:spacing w:before="220"/>
        <w:ind w:firstLine="540"/>
        <w:jc w:val="both"/>
      </w:pPr>
      <w:proofErr w:type="gramStart"/>
      <w:r>
        <w:t xml:space="preserve">Кроме того, ФАС России также обращает внимание на то, что и иные действия поименованных в </w:t>
      </w:r>
      <w:hyperlink r:id="rId42" w:history="1">
        <w:r>
          <w:rPr>
            <w:color w:val="0000FF"/>
          </w:rPr>
          <w:t>статье 15</w:t>
        </w:r>
      </w:hyperlink>
      <w:r>
        <w:t xml:space="preserve"> Закона о защите конкуренции органов и организаций, которые препятствуют гражданам в праве выбора организации, с использованием услуг которой ими могут быть получены социальные и иные выплаты, в отсутствие в федеральных законах соответствующих положений могут быть также признаны нарушающими </w:t>
      </w:r>
      <w:hyperlink r:id="rId43" w:history="1">
        <w:r>
          <w:rPr>
            <w:color w:val="0000FF"/>
          </w:rPr>
          <w:t>пункт 5 части 1</w:t>
        </w:r>
      </w:hyperlink>
      <w:r>
        <w:t xml:space="preserve"> названной</w:t>
      </w:r>
      <w:proofErr w:type="gramEnd"/>
      <w:r>
        <w:t xml:space="preserve"> статьи, </w:t>
      </w:r>
      <w:proofErr w:type="gramStart"/>
      <w:r>
        <w:t>запрещающий</w:t>
      </w:r>
      <w:proofErr w:type="gramEnd"/>
      <w:r>
        <w:t xml:space="preserve"> установление для приобретателей товаров ограничений выбора хозяйствующих субъектов, которые предоставляют такие товары.</w:t>
      </w:r>
    </w:p>
    <w:p w:rsidR="009943A8" w:rsidRDefault="009943A8">
      <w:pPr>
        <w:pStyle w:val="ConsPlusNormal"/>
        <w:spacing w:before="220"/>
        <w:ind w:firstLine="540"/>
        <w:jc w:val="both"/>
      </w:pPr>
      <w:r>
        <w:t>Под иными действиями в данном контексте могут пониматься, в том числе рекомендации приобретать товары (работы, услуги) у конкретного участника рынка, которые также могут привести к ограничению конкуренции.</w:t>
      </w:r>
    </w:p>
    <w:p w:rsidR="009943A8" w:rsidRDefault="009943A8">
      <w:pPr>
        <w:pStyle w:val="ConsPlusNormal"/>
        <w:spacing w:before="220"/>
        <w:ind w:firstLine="540"/>
        <w:jc w:val="both"/>
      </w:pPr>
      <w:proofErr w:type="gramStart"/>
      <w:r>
        <w:t xml:space="preserve">Так, рекомендации органов и организаций, поименованных в </w:t>
      </w:r>
      <w:hyperlink r:id="rId44" w:history="1">
        <w:r>
          <w:rPr>
            <w:color w:val="0000FF"/>
          </w:rPr>
          <w:t>статье 15</w:t>
        </w:r>
      </w:hyperlink>
      <w:r>
        <w:t xml:space="preserve"> Закона о защите конкуренции, могут приниматься получателями рекомендаций во внимание и склонить их решение в пользу товаров (работ, услуг) участника рынка, который был рекомендован, поскольку могут создать у их получателей впечатление об одобрении указанными органами именно этих товаров (работ, услуг) и их предпочтительности по сравнению с товарами (работами, услугами) других участников</w:t>
      </w:r>
      <w:proofErr w:type="gramEnd"/>
      <w:r>
        <w:t xml:space="preserve"> рынка.</w:t>
      </w:r>
    </w:p>
    <w:p w:rsidR="009943A8" w:rsidRDefault="009943A8">
      <w:pPr>
        <w:pStyle w:val="ConsPlusNormal"/>
        <w:spacing w:before="220"/>
        <w:ind w:firstLine="540"/>
        <w:jc w:val="both"/>
      </w:pPr>
      <w:r>
        <w:t>Соответственно, подобные рекомендации создают такому субъекту рынка необоснованные конкурентные преимущества, выражающиеся в более высокой вероятности того, что его товары (работы, услуги) выберут получатели рекомендаций.</w:t>
      </w:r>
    </w:p>
    <w:p w:rsidR="009943A8" w:rsidRDefault="009943A8">
      <w:pPr>
        <w:pStyle w:val="ConsPlusNormal"/>
        <w:spacing w:before="220"/>
        <w:ind w:firstLine="540"/>
        <w:jc w:val="both"/>
      </w:pPr>
      <w:proofErr w:type="gramStart"/>
      <w:r>
        <w:t xml:space="preserve">Одновременно с этим в части препятствования в реализации гражданами права выбора организации для получения пенсий и иных социальных выплат необходимо отметить, что Порядок реализации права граждан Российской Федерации на страховые пенсии установлен </w:t>
      </w:r>
      <w:hyperlink r:id="rId45" w:history="1">
        <w:r>
          <w:rPr>
            <w:color w:val="0000FF"/>
          </w:rPr>
          <w:t>Законом</w:t>
        </w:r>
      </w:hyperlink>
      <w:r>
        <w:t xml:space="preserve"> о страховых пенсиях, согласно </w:t>
      </w:r>
      <w:hyperlink r:id="rId46" w:history="1">
        <w:r>
          <w:rPr>
            <w:color w:val="0000FF"/>
          </w:rPr>
          <w:t>части 12 статьи 21</w:t>
        </w:r>
      </w:hyperlink>
      <w:r>
        <w:t xml:space="preserve"> которого выплата страховой пенсии на территории Российской Федерации производится пенсионеру органом, осуществляющим пенсионное обеспечение, в установленном размере без каких-либо</w:t>
      </w:r>
      <w:proofErr w:type="gramEnd"/>
      <w:r>
        <w:t xml:space="preserve"> ограничений, за исключением случаев, предусмотренных </w:t>
      </w:r>
      <w:hyperlink r:id="rId47" w:history="1">
        <w:r>
          <w:rPr>
            <w:color w:val="0000FF"/>
          </w:rPr>
          <w:t>статьей 26.1</w:t>
        </w:r>
      </w:hyperlink>
      <w:r>
        <w:t xml:space="preserve"> этого закона.</w:t>
      </w:r>
    </w:p>
    <w:p w:rsidR="009943A8" w:rsidRDefault="009943A8">
      <w:pPr>
        <w:pStyle w:val="ConsPlusNormal"/>
        <w:spacing w:before="220"/>
        <w:ind w:firstLine="540"/>
        <w:jc w:val="both"/>
      </w:pPr>
      <w:hyperlink r:id="rId48" w:history="1">
        <w:proofErr w:type="gramStart"/>
        <w:r>
          <w:rPr>
            <w:color w:val="0000FF"/>
          </w:rPr>
          <w:t>Часть 13 статьи 21</w:t>
        </w:r>
      </w:hyperlink>
      <w:r>
        <w:t xml:space="preserve"> Закона о страховых пенсиях устанавливает, что доставка страховой пенсии производится по желанию пенсионера через кредитную организацию путем зачисления сумм страховой пенсии на счет пенсионера в этой кредитной организации либо через организации почтовой связи и иные организации, занимающиеся доставкой страховых пенсий, путем вручения сумм страховой пенсии на дому или в кассе организации, производящей доставку.</w:t>
      </w:r>
      <w:proofErr w:type="gramEnd"/>
    </w:p>
    <w:p w:rsidR="009943A8" w:rsidRDefault="009943A8">
      <w:pPr>
        <w:pStyle w:val="ConsPlusNormal"/>
        <w:spacing w:before="220"/>
        <w:ind w:firstLine="540"/>
        <w:jc w:val="both"/>
      </w:pPr>
      <w:r>
        <w:t xml:space="preserve">Таким образом, исходя из норм </w:t>
      </w:r>
      <w:hyperlink r:id="rId49" w:history="1">
        <w:r>
          <w:rPr>
            <w:color w:val="0000FF"/>
          </w:rPr>
          <w:t>Закона</w:t>
        </w:r>
      </w:hyperlink>
      <w:r>
        <w:t xml:space="preserve"> о страховых пенсиях, граждане свободны и не ограничены в выборе способа получения пенсии и организации, с использованием услуг которой они желают получать соответствующие денежные средства.</w:t>
      </w:r>
    </w:p>
    <w:p w:rsidR="009943A8" w:rsidRDefault="009943A8">
      <w:pPr>
        <w:pStyle w:val="ConsPlusNormal"/>
        <w:spacing w:before="220"/>
        <w:ind w:firstLine="540"/>
        <w:jc w:val="both"/>
      </w:pPr>
      <w:r>
        <w:t>Поскольку сумма пенсии является денежными средствами, принадлежащими гражданину, он имеет право распоряжаться данными средствами по своему усмотрению.</w:t>
      </w:r>
    </w:p>
    <w:p w:rsidR="009943A8" w:rsidRDefault="009943A8">
      <w:pPr>
        <w:pStyle w:val="ConsPlusNormal"/>
        <w:spacing w:before="220"/>
        <w:ind w:firstLine="540"/>
        <w:jc w:val="both"/>
      </w:pPr>
      <w:r>
        <w:t>Учитывая изложенное, ограничение граждан в выборе способа получения пенсии и организации, с использованием услуг которой они желают получать соответствующие денежные средства может содержать признаки нарушения антимонопольного законодательства.</w:t>
      </w:r>
    </w:p>
    <w:p w:rsidR="009943A8" w:rsidRDefault="009943A8">
      <w:pPr>
        <w:pStyle w:val="ConsPlusNormal"/>
        <w:spacing w:before="220"/>
        <w:ind w:firstLine="540"/>
        <w:jc w:val="both"/>
      </w:pPr>
      <w:proofErr w:type="gramStart"/>
      <w:r>
        <w:lastRenderedPageBreak/>
        <w:t xml:space="preserve">Так, одному из управлений Пенсионного фонда Российской Федерации по признакам нарушения </w:t>
      </w:r>
      <w:hyperlink r:id="rId50" w:history="1">
        <w:r>
          <w:rPr>
            <w:color w:val="0000FF"/>
          </w:rPr>
          <w:t>части 1 статьи 15</w:t>
        </w:r>
      </w:hyperlink>
      <w:r>
        <w:t xml:space="preserve"> Закона о защите конкуренции, выразившимся в отказе гражданину в приеме заявления о доставке пенсии через конкретную кредитную организацию и навязывании услуг другой кредитной организации, на основании </w:t>
      </w:r>
      <w:hyperlink r:id="rId51" w:history="1">
        <w:r>
          <w:rPr>
            <w:color w:val="0000FF"/>
          </w:rPr>
          <w:t>статьи 39.1</w:t>
        </w:r>
      </w:hyperlink>
      <w:r>
        <w:t xml:space="preserve"> названного закона было выдано предупреждение о прекращении соответствующих действий.</w:t>
      </w:r>
      <w:proofErr w:type="gramEnd"/>
    </w:p>
    <w:p w:rsidR="009943A8" w:rsidRDefault="009943A8">
      <w:pPr>
        <w:pStyle w:val="ConsPlusNormal"/>
        <w:spacing w:before="220"/>
        <w:ind w:firstLine="540"/>
        <w:jc w:val="both"/>
      </w:pPr>
      <w:r>
        <w:t>Установление региональными актами ограничений способов получения тех или иных выплат гражданами, а также выбора организаций, с использованием услуг которой они желают получать эти выплаты, также может содержать признаки нарушения антимонопольного законодательства.</w:t>
      </w:r>
    </w:p>
    <w:p w:rsidR="009943A8" w:rsidRDefault="009943A8">
      <w:pPr>
        <w:pStyle w:val="ConsPlusNormal"/>
        <w:spacing w:before="220"/>
        <w:ind w:firstLine="540"/>
        <w:jc w:val="both"/>
      </w:pPr>
      <w:r>
        <w:t xml:space="preserve">Примером подобных ограничений может служить установление требования </w:t>
      </w:r>
      <w:proofErr w:type="gramStart"/>
      <w:r>
        <w:t>о выплате единовременного пособия при передаче ребенка на воспитание в семью путем перечисления денежных средств на счета</w:t>
      </w:r>
      <w:proofErr w:type="gramEnd"/>
      <w:r>
        <w:t xml:space="preserve"> граждан, открытые в конкретных кредитных организациях, а также в финансовых организациях, с которыми заключены соответствующие договоры о взаимодействии.</w:t>
      </w:r>
    </w:p>
    <w:p w:rsidR="009943A8" w:rsidRDefault="009943A8">
      <w:pPr>
        <w:pStyle w:val="ConsPlusNormal"/>
        <w:spacing w:before="220"/>
        <w:ind w:firstLine="540"/>
        <w:jc w:val="both"/>
      </w:pPr>
      <w:proofErr w:type="gramStart"/>
      <w:r>
        <w:t>Так, в административном регламенте одного из органов местного самоуправления был установлен перечень организаций, участвующих в предоставлении государственной услуги в части выплаты единовременного пособия при передаче ребенка на воспитание в семью, который был ограничен кредитными учреждениями, действующими на территории города, с которыми были заключены соответствующие договоры о взаимодействии и зачислении сумм пособия на счета граждан.</w:t>
      </w:r>
      <w:proofErr w:type="gramEnd"/>
    </w:p>
    <w:p w:rsidR="009943A8" w:rsidRDefault="009943A8">
      <w:pPr>
        <w:pStyle w:val="ConsPlusNormal"/>
        <w:spacing w:before="220"/>
        <w:ind w:firstLine="540"/>
        <w:jc w:val="both"/>
      </w:pPr>
      <w:r>
        <w:t>Поскольку реализация такого административного регламента с учетом конкретных обстоятель</w:t>
      </w:r>
      <w:proofErr w:type="gramStart"/>
      <w:r>
        <w:t>ств пр</w:t>
      </w:r>
      <w:proofErr w:type="gramEnd"/>
      <w:r>
        <w:t xml:space="preserve">ивела (могла привести) к ограничению конкуренции на рынке банковских услуг, было возбуждено дело о нарушении антимонопольного законодательства, по итогам рассмотрения которого ответчик был признан нарушившим </w:t>
      </w:r>
      <w:hyperlink r:id="rId52" w:history="1">
        <w:r>
          <w:rPr>
            <w:color w:val="0000FF"/>
          </w:rPr>
          <w:t>часть 1 статьи 15</w:t>
        </w:r>
      </w:hyperlink>
      <w:r>
        <w:t xml:space="preserve"> Закона о защите конкуренции.</w:t>
      </w:r>
    </w:p>
    <w:p w:rsidR="009943A8" w:rsidRDefault="009943A8">
      <w:pPr>
        <w:pStyle w:val="ConsPlusNormal"/>
        <w:spacing w:before="220"/>
        <w:ind w:firstLine="540"/>
        <w:jc w:val="both"/>
      </w:pPr>
      <w:r>
        <w:t>При этом в некоторых региональных актах, помимо подобных ограничений, также могут устанавливаться необоснованные и непредусмотренные законодательством требования к кредитным организациям, что, в свою очередь, также является нарушением антимонопольного законодательства.</w:t>
      </w:r>
    </w:p>
    <w:p w:rsidR="009943A8" w:rsidRDefault="009943A8">
      <w:pPr>
        <w:pStyle w:val="ConsPlusNormal"/>
        <w:spacing w:before="220"/>
        <w:ind w:firstLine="540"/>
        <w:jc w:val="both"/>
      </w:pPr>
      <w:proofErr w:type="gramStart"/>
      <w:r>
        <w:t>В части недопустимости установления дополнительных непредусмотренных законодательством требований к кредитным организациям для участия в конкурсе на размещение средств необходимо отметить, что в рамках рассмотрения одного из дел о нарушении антимонопольного законодательства действия Правительства субъекта Российской Федерации по установлению необоснованного требования о наличии у кредитной организации генерального кредитного договора, заключенного с Банком России в соответствии с нормативными актами Банка России, предусматривающего</w:t>
      </w:r>
      <w:proofErr w:type="gramEnd"/>
      <w:r>
        <w:t xml:space="preserve"> получение кредита на корреспондентский счет (субсчет), открытый в расчетной сети национального банка, были признаны нарушением </w:t>
      </w:r>
      <w:hyperlink r:id="rId53" w:history="1">
        <w:r>
          <w:rPr>
            <w:color w:val="0000FF"/>
          </w:rPr>
          <w:t>части 1 статьи 15</w:t>
        </w:r>
      </w:hyperlink>
      <w:r>
        <w:t xml:space="preserve"> Закона о защите конкуренции.</w:t>
      </w:r>
    </w:p>
    <w:p w:rsidR="009943A8" w:rsidRDefault="009943A8">
      <w:pPr>
        <w:pStyle w:val="ConsPlusNormal"/>
        <w:spacing w:before="220"/>
        <w:ind w:firstLine="540"/>
        <w:jc w:val="both"/>
      </w:pPr>
      <w:r>
        <w:t xml:space="preserve">Кроме того, признаки нарушения </w:t>
      </w:r>
      <w:hyperlink r:id="rId54" w:history="1">
        <w:r>
          <w:rPr>
            <w:color w:val="0000FF"/>
          </w:rPr>
          <w:t>части 1 статьи 15</w:t>
        </w:r>
      </w:hyperlink>
      <w:r>
        <w:t xml:space="preserve"> Закона о защите конкуренции также могут содержаться в указаниях (поручениях) органов государственной власти и местного самоуправления, направляемых подведомственным учреждениям.</w:t>
      </w:r>
    </w:p>
    <w:p w:rsidR="009943A8" w:rsidRDefault="009943A8">
      <w:pPr>
        <w:pStyle w:val="ConsPlusNormal"/>
        <w:spacing w:before="220"/>
        <w:ind w:firstLine="540"/>
        <w:jc w:val="both"/>
      </w:pPr>
      <w:r>
        <w:t>Одним из примеров подобных действий может являться направление подведомственным учреждениям указания о необходимости перехода на обслуживание зарплатного проекта в определенную кредитную организацию и необходимости заключения договоров о проведении безналичных расчетов с работниками с этой кредитной организации.</w:t>
      </w:r>
    </w:p>
    <w:p w:rsidR="009943A8" w:rsidRDefault="009943A8">
      <w:pPr>
        <w:pStyle w:val="ConsPlusNormal"/>
        <w:spacing w:before="220"/>
        <w:ind w:firstLine="540"/>
        <w:jc w:val="both"/>
      </w:pPr>
      <w:r>
        <w:t xml:space="preserve">Необходимо отметить, что согласно </w:t>
      </w:r>
      <w:hyperlink r:id="rId55" w:history="1">
        <w:r>
          <w:rPr>
            <w:color w:val="0000FF"/>
          </w:rPr>
          <w:t>статье 136</w:t>
        </w:r>
      </w:hyperlink>
      <w:r>
        <w:t xml:space="preserve"> Трудового кодекса Российской Федерации,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w:t>
      </w:r>
      <w:r>
        <w:lastRenderedPageBreak/>
        <w:t xml:space="preserve">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t>позднее</w:t>
      </w:r>
      <w:proofErr w:type="gramEnd"/>
      <w:r>
        <w:t xml:space="preserve"> чем за пять рабочих дней до дня выплаты заработной платы.</w:t>
      </w:r>
    </w:p>
    <w:p w:rsidR="009943A8" w:rsidRDefault="009943A8">
      <w:pPr>
        <w:pStyle w:val="ConsPlusNormal"/>
        <w:spacing w:before="220"/>
        <w:ind w:firstLine="540"/>
        <w:jc w:val="both"/>
      </w:pPr>
      <w:proofErr w:type="gramStart"/>
      <w:r>
        <w:t xml:space="preserve">Поскольку подобное ограничение сотрудников в выборе кредитной организации для открытия счета и получения на него заработной платы или осуществление иных действий, приведет (может привести) к необоснованному перераспределению спроса граждан на соответствующие банковские услуги в пользу определенных кредитных организаций, такие действия могут быть признаны нарушением (содержать признаки нарушения) </w:t>
      </w:r>
      <w:hyperlink r:id="rId56" w:history="1">
        <w:r>
          <w:rPr>
            <w:color w:val="0000FF"/>
          </w:rPr>
          <w:t>статьи 15</w:t>
        </w:r>
      </w:hyperlink>
      <w:r>
        <w:t xml:space="preserve"> Закона о защите конкуренции и послужить основанием для выдачи соответствующего предупреждения.</w:t>
      </w:r>
      <w:proofErr w:type="gramEnd"/>
    </w:p>
    <w:p w:rsidR="009943A8" w:rsidRDefault="009943A8">
      <w:pPr>
        <w:pStyle w:val="ConsPlusNormal"/>
        <w:spacing w:before="220"/>
        <w:ind w:firstLine="540"/>
        <w:jc w:val="both"/>
      </w:pPr>
      <w:r>
        <w:t>Федеральная антимонопольная служба просит обеспечить распространение настоящих разъяснений на муниципальном уровне.</w:t>
      </w:r>
    </w:p>
    <w:p w:rsidR="009943A8" w:rsidRDefault="009943A8">
      <w:pPr>
        <w:pStyle w:val="ConsPlusNormal"/>
        <w:jc w:val="both"/>
      </w:pPr>
    </w:p>
    <w:p w:rsidR="009943A8" w:rsidRDefault="009943A8">
      <w:pPr>
        <w:pStyle w:val="ConsPlusNormal"/>
        <w:jc w:val="right"/>
      </w:pPr>
      <w:r>
        <w:t>А.Б.КАШЕВАРОВ</w:t>
      </w:r>
    </w:p>
    <w:p w:rsidR="009943A8" w:rsidRDefault="009943A8">
      <w:pPr>
        <w:pStyle w:val="ConsPlusNormal"/>
        <w:jc w:val="both"/>
      </w:pPr>
    </w:p>
    <w:p w:rsidR="009943A8" w:rsidRDefault="009943A8">
      <w:pPr>
        <w:pStyle w:val="ConsPlusNormal"/>
        <w:jc w:val="both"/>
      </w:pPr>
    </w:p>
    <w:p w:rsidR="009943A8" w:rsidRDefault="009943A8">
      <w:pPr>
        <w:pStyle w:val="ConsPlusNormal"/>
        <w:pBdr>
          <w:top w:val="single" w:sz="6" w:space="0" w:color="auto"/>
        </w:pBdr>
        <w:spacing w:before="100" w:after="100"/>
        <w:jc w:val="both"/>
        <w:rPr>
          <w:sz w:val="2"/>
          <w:szCs w:val="2"/>
        </w:rPr>
      </w:pPr>
    </w:p>
    <w:p w:rsidR="00CC6C64" w:rsidRDefault="00CC6C64">
      <w:bookmarkStart w:id="0" w:name="_GoBack"/>
      <w:bookmarkEnd w:id="0"/>
    </w:p>
    <w:sectPr w:rsidR="00CC6C64" w:rsidSect="00EC6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A8"/>
    <w:rsid w:val="009943A8"/>
    <w:rsid w:val="00CC6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3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43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43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3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43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43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0AFB0666D3150B0BD0A5803BEE5D34F0BE13F1090B6F46277551DE7DB9660900809613F717F8DBB6090CE6702272D57CE4C284805MCSDL" TargetMode="External"/><Relationship Id="rId18" Type="http://schemas.openxmlformats.org/officeDocument/2006/relationships/hyperlink" Target="consultantplus://offline/ref=E0AFB0666D3150B0BD0A5803BEE5D34F0BE13C1891B8F46277551DE7DB96609008096139777B86EE31DFCF3B477B3E56C34C2A4C1AC6A1ABM9SEL" TargetMode="External"/><Relationship Id="rId26" Type="http://schemas.openxmlformats.org/officeDocument/2006/relationships/hyperlink" Target="consultantplus://offline/ref=E0AFB0666D3150B0BD0A5803BEE5D34F0BE23B159EB1F46277551DE7DB9660901A093935767298EF35CA996A02M2S7L" TargetMode="External"/><Relationship Id="rId39" Type="http://schemas.openxmlformats.org/officeDocument/2006/relationships/hyperlink" Target="consultantplus://offline/ref=E0AFB0666D3150B0BD0A5803BEE5D34F0BE13F1090B6F46277551DE7DB9660900809613B72788DBB6090CE6702272D57CE4C284805MCSDL" TargetMode="External"/><Relationship Id="rId21" Type="http://schemas.openxmlformats.org/officeDocument/2006/relationships/hyperlink" Target="consultantplus://offline/ref=E0AFB0666D3150B0BD0A5803BEE5D34F0BE13C1891B8F46277551DE7DB96609008096139777B86EE31DFCF3B477B3E56C34C2A4C1AC6A1ABM9SEL" TargetMode="External"/><Relationship Id="rId34" Type="http://schemas.openxmlformats.org/officeDocument/2006/relationships/hyperlink" Target="consultantplus://offline/ref=E0AFB0666D3150B0BD0A5803BEE5D34F0BE13F129DB6F46277551DE7DB9660901A093935767298EF35CA996A02M2S7L" TargetMode="External"/><Relationship Id="rId42" Type="http://schemas.openxmlformats.org/officeDocument/2006/relationships/hyperlink" Target="consultantplus://offline/ref=E0AFB0666D3150B0BD0A5803BEE5D34F0BE13F1090B6F46277551DE7DB9660900809613B72798DBB6090CE6702272D57CE4C284805MCSDL" TargetMode="External"/><Relationship Id="rId47" Type="http://schemas.openxmlformats.org/officeDocument/2006/relationships/hyperlink" Target="consultantplus://offline/ref=E0AFB0666D3150B0BD0A5803BEE5D34F0BE1331798B1F46277551DE7DB96609008096139777B81EC30DFCF3B477B3E56C34C2A4C1AC6A1ABM9SEL" TargetMode="External"/><Relationship Id="rId50" Type="http://schemas.openxmlformats.org/officeDocument/2006/relationships/hyperlink" Target="consultantplus://offline/ref=E0AFB0666D3150B0BD0A5803BEE5D34F0BE13F1090B6F46277551DE7DB9660900809613B72788DBB6090CE6702272D57CE4C284805MCSDL" TargetMode="External"/><Relationship Id="rId55" Type="http://schemas.openxmlformats.org/officeDocument/2006/relationships/hyperlink" Target="consultantplus://offline/ref=E0AFB0666D3150B0BD0A5803BEE5D34F0BE23B159AB7F46277551DE7DB96609008096139777B8FED30DFCF3B477B3E56C34C2A4C1AC6A1ABM9SEL" TargetMode="External"/><Relationship Id="rId7" Type="http://schemas.openxmlformats.org/officeDocument/2006/relationships/hyperlink" Target="consultantplus://offline/ref=E0AFB0666D3150B0BD0A5803BEE5D34F0BE13F1090B6F46277551DE7DB9660900809613075728DBB6090CE6702272D57CE4C284805MCSDL" TargetMode="External"/><Relationship Id="rId12" Type="http://schemas.openxmlformats.org/officeDocument/2006/relationships/hyperlink" Target="consultantplus://offline/ref=E0AFB0666D3150B0BD0A5803BEE5D34F0BE13F1090B6F46277551DE7DB9660900809613F72788DBB6090CE6702272D57CE4C284805MCSDL" TargetMode="External"/><Relationship Id="rId17" Type="http://schemas.openxmlformats.org/officeDocument/2006/relationships/hyperlink" Target="consultantplus://offline/ref=E0AFB0666D3150B0BD0A5803BEE5D34F0BE13F1090B6F46277551DE7DB9660900809613075738DBB6090CE6702272D57CE4C284805MCSDL" TargetMode="External"/><Relationship Id="rId25" Type="http://schemas.openxmlformats.org/officeDocument/2006/relationships/hyperlink" Target="consultantplus://offline/ref=E0AFB0666D3150B0BD0A5803BEE5D34F0BE03A189DB4F46277551DE7DB9660901A093935767298EF35CA996A02M2S7L" TargetMode="External"/><Relationship Id="rId33" Type="http://schemas.openxmlformats.org/officeDocument/2006/relationships/hyperlink" Target="consultantplus://offline/ref=E0AFB0666D3150B0BD0A5803BEE5D34F0BE13F1090B6F46277551DE7DB9660900809613B7F7C8DBB6090CE6702272D57CE4C284805MCSDL" TargetMode="External"/><Relationship Id="rId38" Type="http://schemas.openxmlformats.org/officeDocument/2006/relationships/hyperlink" Target="consultantplus://offline/ref=E0AFB0666D3150B0BD0A5803BEE5D34F0BE13F129DB6F46277551DE7DB96609008096139777B86EF38DFCF3B477B3E56C34C2A4C1AC6A1ABM9SEL" TargetMode="External"/><Relationship Id="rId46" Type="http://schemas.openxmlformats.org/officeDocument/2006/relationships/hyperlink" Target="consultantplus://offline/ref=E0AFB0666D3150B0BD0A5803BEE5D34F0BE1331798B1F46277551DE7DB966090080961317170D2BE7581966B0A303353D4502A49M0SDL" TargetMode="External"/><Relationship Id="rId2" Type="http://schemas.microsoft.com/office/2007/relationships/stylesWithEffects" Target="stylesWithEffects.xml"/><Relationship Id="rId16" Type="http://schemas.openxmlformats.org/officeDocument/2006/relationships/hyperlink" Target="consultantplus://offline/ref=E0AFB0666D3150B0BD0A5803BEE5D34F0BE13F1090B6F46277551DE7DB9660900809613B72798DBB6090CE6702272D57CE4C284805MCSDL" TargetMode="External"/><Relationship Id="rId20" Type="http://schemas.openxmlformats.org/officeDocument/2006/relationships/hyperlink" Target="consultantplus://offline/ref=E0AFB0666D3150B0BD0A5803BEE5D34F0BE13F1090B6F46277551DE7DB9660900809613B72788DBB6090CE6702272D57CE4C284805MCSDL" TargetMode="External"/><Relationship Id="rId29" Type="http://schemas.openxmlformats.org/officeDocument/2006/relationships/hyperlink" Target="consultantplus://offline/ref=E0AFB0666D3150B0BD0A5803BEE5D34F0AE83D1593E7A360260013E2D3C63A801E406D31697B82F133D49AM6S3L" TargetMode="External"/><Relationship Id="rId41" Type="http://schemas.openxmlformats.org/officeDocument/2006/relationships/hyperlink" Target="consultantplus://offline/ref=E0AFB0666D3150B0BD0A5803BEE5D34F0BE13F1090B6F46277551DE7DB9660900809613B72788DBB6090CE6702272D57CE4C284805MCSDL" TargetMode="External"/><Relationship Id="rId54" Type="http://schemas.openxmlformats.org/officeDocument/2006/relationships/hyperlink" Target="consultantplus://offline/ref=E0AFB0666D3150B0BD0A5803BEE5D34F0BE13F1090B6F46277551DE7DB9660900809613B72788DBB6090CE6702272D57CE4C284805MCSDL" TargetMode="External"/><Relationship Id="rId1" Type="http://schemas.openxmlformats.org/officeDocument/2006/relationships/styles" Target="styles.xml"/><Relationship Id="rId6" Type="http://schemas.openxmlformats.org/officeDocument/2006/relationships/hyperlink" Target="consultantplus://offline/ref=E0AFB0666D3150B0BD0A5803BEE5D34F0AE83F1791B7F46277551DE7DB96609008096139777B86E931DFCF3B477B3E56C34C2A4C1AC6A1ABM9SEL" TargetMode="External"/><Relationship Id="rId11" Type="http://schemas.openxmlformats.org/officeDocument/2006/relationships/hyperlink" Target="consultantplus://offline/ref=E0AFB0666D3150B0BD0A5803BEE5D34F0BE13F1090B6F46277551DE7DB96609008096139777B87EF30DFCF3B477B3E56C34C2A4C1AC6A1ABM9SEL" TargetMode="External"/><Relationship Id="rId24" Type="http://schemas.openxmlformats.org/officeDocument/2006/relationships/hyperlink" Target="consultantplus://offline/ref=E0AFB0666D3150B0BD0A5803BEE5D34F0BE13F1090B6F46277551DE7DB96609008096139777B87EA39DFCF3B477B3E56C34C2A4C1AC6A1ABM9SEL" TargetMode="External"/><Relationship Id="rId32" Type="http://schemas.openxmlformats.org/officeDocument/2006/relationships/hyperlink" Target="consultantplus://offline/ref=E0AFB0666D3150B0BD0A5803BEE5D34F0BE13F1090B6F46277551DE7DB9660900809613B7F7C8DBB6090CE6702272D57CE4C284805MCSDL" TargetMode="External"/><Relationship Id="rId37" Type="http://schemas.openxmlformats.org/officeDocument/2006/relationships/hyperlink" Target="consultantplus://offline/ref=E0AFB0666D3150B0BD0A5803BEE5D34F0BE13F129DB6F46277551DE7DB9660901A093935767298EF35CA996A02M2S7L" TargetMode="External"/><Relationship Id="rId40" Type="http://schemas.openxmlformats.org/officeDocument/2006/relationships/hyperlink" Target="consultantplus://offline/ref=E0AFB0666D3150B0BD0A5803BEE5D34F0BE13F1090B6F46277551DE7DB9660900809613B72788DBB6090CE6702272D57CE4C284805MCSDL" TargetMode="External"/><Relationship Id="rId45" Type="http://schemas.openxmlformats.org/officeDocument/2006/relationships/hyperlink" Target="consultantplus://offline/ref=E0AFB0666D3150B0BD0A5803BEE5D34F0BE1331798B1F46277551DE7DB9660901A093935767298EF35CA996A02M2S7L" TargetMode="External"/><Relationship Id="rId53" Type="http://schemas.openxmlformats.org/officeDocument/2006/relationships/hyperlink" Target="consultantplus://offline/ref=E0AFB0666D3150B0BD0A5803BEE5D34F0BE13F1090B6F46277551DE7DB9660900809613B72788DBB6090CE6702272D57CE4C284805MCSDL" TargetMode="External"/><Relationship Id="rId58"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E0AFB0666D3150B0BD0A5803BEE5D34F0BE13F1090B6F46277551DE7DB9660900809613F7F788DBB6090CE6702272D57CE4C284805MCSDL" TargetMode="External"/><Relationship Id="rId23" Type="http://schemas.openxmlformats.org/officeDocument/2006/relationships/hyperlink" Target="consultantplus://offline/ref=E0AFB0666D3150B0BD0A5803BEE5D34F0BE13F1090B6F46277551DE7DB96609008096139777B87EA36DFCF3B477B3E56C34C2A4C1AC6A1ABM9SEL" TargetMode="External"/><Relationship Id="rId28" Type="http://schemas.openxmlformats.org/officeDocument/2006/relationships/hyperlink" Target="consultantplus://offline/ref=E0AFB0666D3150B0BD0A5803BEE5D34F0BE1331798B1F46277551DE7DB9660901A093935767298EF35CA996A02M2S7L" TargetMode="External"/><Relationship Id="rId36" Type="http://schemas.openxmlformats.org/officeDocument/2006/relationships/hyperlink" Target="consultantplus://offline/ref=E0AFB0666D3150B0BD0A5803BEE5D34F0BE13F1090B6F46277551DE7DB9660900809613B7F7C8DBB6090CE6702272D57CE4C284805MCSDL" TargetMode="External"/><Relationship Id="rId49" Type="http://schemas.openxmlformats.org/officeDocument/2006/relationships/hyperlink" Target="consultantplus://offline/ref=E0AFB0666D3150B0BD0A5803BEE5D34F0BE1331798B1F46277551DE7DB9660901A093935767298EF35CA996A02M2S7L" TargetMode="External"/><Relationship Id="rId57" Type="http://schemas.openxmlformats.org/officeDocument/2006/relationships/fontTable" Target="fontTable.xml"/><Relationship Id="rId10" Type="http://schemas.openxmlformats.org/officeDocument/2006/relationships/hyperlink" Target="consultantplus://offline/ref=E0AFB0666D3150B0BD0A5803BEE5D34F0BE13F1090B6F46277551DE7DB96609008096139777B86E638DFCF3B477B3E56C34C2A4C1AC6A1ABM9SEL" TargetMode="External"/><Relationship Id="rId19" Type="http://schemas.openxmlformats.org/officeDocument/2006/relationships/hyperlink" Target="consultantplus://offline/ref=E0AFB0666D3150B0BD0A5803BEE5D34F0BE13C1891B8F46277551DE7DB96609008096139777B86EE31DFCF3B477B3E56C34C2A4C1AC6A1ABM9SEL" TargetMode="External"/><Relationship Id="rId31" Type="http://schemas.openxmlformats.org/officeDocument/2006/relationships/hyperlink" Target="consultantplus://offline/ref=E0AFB0666D3150B0BD0A5803BEE5D34F0BE13F129DB6F46277551DE7DB9660901A093935767298EF35CA996A02M2S7L" TargetMode="External"/><Relationship Id="rId44" Type="http://schemas.openxmlformats.org/officeDocument/2006/relationships/hyperlink" Target="consultantplus://offline/ref=E0AFB0666D3150B0BD0A5803BEE5D34F0BE13F1090B6F46277551DE7DB9660900809613B72798DBB6090CE6702272D57CE4C284805MCSDL" TargetMode="External"/><Relationship Id="rId52" Type="http://schemas.openxmlformats.org/officeDocument/2006/relationships/hyperlink" Target="consultantplus://offline/ref=E0AFB0666D3150B0BD0A5803BEE5D34F0BE13F1090B6F46277551DE7DB9660900809613B72788DBB6090CE6702272D57CE4C284805MCSDL" TargetMode="External"/><Relationship Id="rId4" Type="http://schemas.openxmlformats.org/officeDocument/2006/relationships/webSettings" Target="webSettings.xml"/><Relationship Id="rId9" Type="http://schemas.openxmlformats.org/officeDocument/2006/relationships/hyperlink" Target="consultantplus://offline/ref=E0AFB0666D3150B0BD0A5803BEE5D34F0BE13F1090B6F46277551DE7DB96609008096139777B86E639DFCF3B477B3E56C34C2A4C1AC6A1ABM9SEL" TargetMode="External"/><Relationship Id="rId14" Type="http://schemas.openxmlformats.org/officeDocument/2006/relationships/hyperlink" Target="consultantplus://offline/ref=E0AFB0666D3150B0BD0A5803BEE5D34F0BE13F1090B6F46277551DE7DB9660900809613F70738DBB6090CE6702272D57CE4C284805MCSDL" TargetMode="External"/><Relationship Id="rId22" Type="http://schemas.openxmlformats.org/officeDocument/2006/relationships/hyperlink" Target="consultantplus://offline/ref=E0AFB0666D3150B0BD0A5803BEE5D34F0BE13F1090B6F46277551DE7DB96609008096139777B87EA32DFCF3B477B3E56C34C2A4C1AC6A1ABM9SEL" TargetMode="External"/><Relationship Id="rId27" Type="http://schemas.openxmlformats.org/officeDocument/2006/relationships/hyperlink" Target="consultantplus://offline/ref=E0AFB0666D3150B0BD0A5803BEE5D34F0BE13E189DB5F46277551DE7DB9660901A093935767298EF35CA996A02M2S7L" TargetMode="External"/><Relationship Id="rId30" Type="http://schemas.openxmlformats.org/officeDocument/2006/relationships/hyperlink" Target="consultantplus://offline/ref=E0AFB0666D3150B0BD0A5803BEE5D34F0BE03A189AB3F46277551DE7DB9660901A093935767298EF35CA996A02M2S7L" TargetMode="External"/><Relationship Id="rId35" Type="http://schemas.openxmlformats.org/officeDocument/2006/relationships/hyperlink" Target="consultantplus://offline/ref=E0AFB0666D3150B0BD0A5803BEE5D34F0BE13F1090B6F46277551DE7DB9660900809613B7F7C8DBB6090CE6702272D57CE4C284805MCSDL" TargetMode="External"/><Relationship Id="rId43" Type="http://schemas.openxmlformats.org/officeDocument/2006/relationships/hyperlink" Target="consultantplus://offline/ref=E0AFB0666D3150B0BD0A5803BEE5D34F0BE13F1090B6F46277551DE7DB96609008096139777B87EA31DFCF3B477B3E56C34C2A4C1AC6A1ABM9SEL" TargetMode="External"/><Relationship Id="rId48" Type="http://schemas.openxmlformats.org/officeDocument/2006/relationships/hyperlink" Target="consultantplus://offline/ref=E0AFB0666D3150B0BD0A5803BEE5D34F0BE1331798B1F46277551DE7DB96609008096139777B84E636DFCF3B477B3E56C34C2A4C1AC6A1ABM9SEL" TargetMode="External"/><Relationship Id="rId56" Type="http://schemas.openxmlformats.org/officeDocument/2006/relationships/hyperlink" Target="consultantplus://offline/ref=E0AFB0666D3150B0BD0A5803BEE5D34F0BE13F1090B6F46277551DE7DB9660900809613B72798DBB6090CE6702272D57CE4C284805MCSDL" TargetMode="External"/><Relationship Id="rId8" Type="http://schemas.openxmlformats.org/officeDocument/2006/relationships/hyperlink" Target="consultantplus://offline/ref=E0AFB0666D3150B0BD0A5803BEE5D34F0BE13F1090B6F46277551DE7DB96609008096139777B86E637DFCF3B477B3E56C34C2A4C1AC6A1ABM9SEL" TargetMode="External"/><Relationship Id="rId51" Type="http://schemas.openxmlformats.org/officeDocument/2006/relationships/hyperlink" Target="consultantplus://offline/ref=E0AFB0666D3150B0BD0A5803BEE5D34F0BE13F1090B6F46277551DE7DB9660900809613D737B8DBB6090CE6702272D57CE4C284805MCSD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3970</Words>
  <Characters>22634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2019-04-19T11:18:00Z</dcterms:created>
  <dcterms:modified xsi:type="dcterms:W3CDTF">2019-04-19T11:18:00Z</dcterms:modified>
</cp:coreProperties>
</file>