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0CF" w:rsidRDefault="00D670C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670CF" w:rsidRDefault="00D670CF">
      <w:pPr>
        <w:pStyle w:val="ConsPlusNormal"/>
        <w:jc w:val="center"/>
        <w:outlineLvl w:val="0"/>
      </w:pPr>
    </w:p>
    <w:p w:rsidR="00D670CF" w:rsidRDefault="00D670CF">
      <w:pPr>
        <w:pStyle w:val="ConsPlusTitle"/>
        <w:jc w:val="center"/>
      </w:pPr>
      <w:r>
        <w:t>ФЕДЕРАЛЬНАЯ АНТИМОНОПОЛЬНАЯ СЛУЖБА</w:t>
      </w:r>
    </w:p>
    <w:p w:rsidR="00D670CF" w:rsidRDefault="00D670CF">
      <w:pPr>
        <w:pStyle w:val="ConsPlusTitle"/>
        <w:jc w:val="center"/>
      </w:pPr>
    </w:p>
    <w:p w:rsidR="00D670CF" w:rsidRDefault="00D670CF">
      <w:pPr>
        <w:pStyle w:val="ConsPlusTitle"/>
        <w:jc w:val="center"/>
      </w:pPr>
      <w:r>
        <w:t>РАЗЪЯСНЕНИЯ</w:t>
      </w:r>
    </w:p>
    <w:p w:rsidR="00D670CF" w:rsidRDefault="00D670CF">
      <w:pPr>
        <w:pStyle w:val="ConsPlusTitle"/>
        <w:jc w:val="center"/>
      </w:pPr>
      <w:r>
        <w:t>ПО ВОПРОСУ ПРОВЕДЕНИЯ СОВМЕСТНЫХ ЗАКУПОК НА ПОСТАВКУ</w:t>
      </w:r>
    </w:p>
    <w:p w:rsidR="00D670CF" w:rsidRDefault="00D670CF">
      <w:pPr>
        <w:pStyle w:val="ConsPlusTitle"/>
        <w:jc w:val="center"/>
      </w:pPr>
      <w:r>
        <w:t>ПРОДУКТОВ ПИТАНИЯ</w:t>
      </w:r>
    </w:p>
    <w:p w:rsidR="00D670CF" w:rsidRDefault="00D670CF">
      <w:pPr>
        <w:pStyle w:val="ConsPlusNormal"/>
        <w:ind w:firstLine="540"/>
        <w:jc w:val="both"/>
      </w:pPr>
    </w:p>
    <w:p w:rsidR="00D670CF" w:rsidRDefault="00D670CF">
      <w:pPr>
        <w:pStyle w:val="ConsPlusNormal"/>
        <w:ind w:firstLine="540"/>
        <w:jc w:val="both"/>
      </w:pPr>
      <w:proofErr w:type="gramStart"/>
      <w:r>
        <w:t xml:space="preserve">В соответствии с положениями </w:t>
      </w:r>
      <w:hyperlink r:id="rId6" w:history="1">
        <w:r>
          <w:rPr>
            <w:color w:val="0000FF"/>
          </w:rPr>
          <w:t>ч. 1 ст. 25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при осуществлении двумя и более заказчиками закупок одних и тех же товаров, работ, услуг такие заказчики вправе проводить совместные конкурсы или аукционы.</w:t>
      </w:r>
      <w:proofErr w:type="gramEnd"/>
      <w:r>
        <w:t xml:space="preserve"> Права, обязанности и ответственность заказчиков при проведении совместных конкурсов или аукционов определяются соглашением сторон, заключенным в соответствии с Гражданским </w:t>
      </w:r>
      <w:hyperlink r:id="rId7" w:history="1">
        <w:r>
          <w:rPr>
            <w:color w:val="0000FF"/>
          </w:rPr>
          <w:t>кодексом</w:t>
        </w:r>
      </w:hyperlink>
      <w:r>
        <w:t xml:space="preserve"> Российской Федерации и настоящим Федеральным законом. Контракт с победителем либо победителями </w:t>
      </w:r>
      <w:proofErr w:type="gramStart"/>
      <w:r>
        <w:t>совместных</w:t>
      </w:r>
      <w:proofErr w:type="gramEnd"/>
      <w:r>
        <w:t xml:space="preserve"> конкурса или аукциона заключается каждым заказчиком.</w:t>
      </w:r>
    </w:p>
    <w:p w:rsidR="00D670CF" w:rsidRDefault="00D670CF">
      <w:pPr>
        <w:pStyle w:val="ConsPlusNormal"/>
        <w:spacing w:before="220"/>
        <w:ind w:firstLine="540"/>
        <w:jc w:val="both"/>
      </w:pPr>
      <w:r>
        <w:t xml:space="preserve">Вышеуказанная </w:t>
      </w:r>
      <w:hyperlink r:id="rId8" w:history="1">
        <w:r>
          <w:rPr>
            <w:color w:val="0000FF"/>
          </w:rPr>
          <w:t>норма</w:t>
        </w:r>
      </w:hyperlink>
      <w:r>
        <w:t xml:space="preserve"> обеспечивает баланс между эффективным и рациональным использованием сре</w:t>
      </w:r>
      <w:proofErr w:type="gramStart"/>
      <w:r>
        <w:t>дств пр</w:t>
      </w:r>
      <w:proofErr w:type="gramEnd"/>
      <w:r>
        <w:t>и проведении конкурсов и аукционов, в том числе сокращением издержек на их проведение, и воспрепятствованием необоснованному ограничению числа участников закупок.</w:t>
      </w:r>
    </w:p>
    <w:p w:rsidR="00D670CF" w:rsidRDefault="00D670CF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9" w:history="1">
        <w:r>
          <w:rPr>
            <w:color w:val="0000FF"/>
          </w:rPr>
          <w:t>п. 7 ст. 3</w:t>
        </w:r>
      </w:hyperlink>
      <w:r>
        <w:t xml:space="preserve"> Закона о контрактной системе, заказчик - государственный или муниципальный заказчик либо в соответствии с </w:t>
      </w:r>
      <w:hyperlink r:id="rId10" w:history="1">
        <w:r>
          <w:rPr>
            <w:color w:val="0000FF"/>
          </w:rPr>
          <w:t>частями 1</w:t>
        </w:r>
      </w:hyperlink>
      <w:r>
        <w:t xml:space="preserve"> и </w:t>
      </w:r>
      <w:hyperlink r:id="rId11" w:history="1">
        <w:r>
          <w:rPr>
            <w:color w:val="0000FF"/>
          </w:rPr>
          <w:t>2.1 статьи 15</w:t>
        </w:r>
      </w:hyperlink>
      <w:r>
        <w:t xml:space="preserve"> Закона о контрактной системе бюджетное учреждение, государственное, муниципальное унитарные предприятия, осуществляющие закупки.</w:t>
      </w:r>
    </w:p>
    <w:p w:rsidR="00D670CF" w:rsidRDefault="00D670CF">
      <w:pPr>
        <w:pStyle w:val="ConsPlusNormal"/>
        <w:spacing w:before="220"/>
        <w:ind w:firstLine="540"/>
        <w:jc w:val="both"/>
      </w:pPr>
      <w:r>
        <w:t xml:space="preserve">Таким образом, законодателем урегулировано право заказчиков </w:t>
      </w:r>
      <w:proofErr w:type="gramStart"/>
      <w:r>
        <w:t>проводить</w:t>
      </w:r>
      <w:proofErr w:type="gramEnd"/>
      <w:r>
        <w:t xml:space="preserve"> совместные конкурсы или аукционы. При этом реализация данного права не ограничена территориальной принадлежностью заказчиков.</w:t>
      </w:r>
    </w:p>
    <w:p w:rsidR="00D670CF" w:rsidRDefault="00D670CF">
      <w:pPr>
        <w:pStyle w:val="ConsPlusNormal"/>
        <w:spacing w:before="220"/>
        <w:ind w:firstLine="540"/>
        <w:jc w:val="both"/>
      </w:pPr>
      <w:r>
        <w:t>На основании вышеизложенного, проведение совместных закупок на поставку продуктов питания заказчиками, расположенными в районах Курганской области, не имеющих общих границ, не образует нарушения требований действующего законодательства о контрактной системе в сфере закупок товаров, работ, услуг для обеспечения государственных и муниципальных нужд.</w:t>
      </w:r>
    </w:p>
    <w:p w:rsidR="00D670CF" w:rsidRDefault="00D670CF">
      <w:pPr>
        <w:pStyle w:val="ConsPlusNormal"/>
        <w:spacing w:before="220"/>
        <w:ind w:firstLine="540"/>
        <w:jc w:val="both"/>
      </w:pPr>
      <w:r>
        <w:t xml:space="preserve">Однако, исходя из буквального толкования </w:t>
      </w:r>
      <w:hyperlink r:id="rId12" w:history="1">
        <w:r>
          <w:rPr>
            <w:color w:val="0000FF"/>
          </w:rPr>
          <w:t>ч. 1 ст. 25</w:t>
        </w:r>
      </w:hyperlink>
      <w:r>
        <w:t xml:space="preserve"> Закона о контрактной системе основополагающим обстоятельством для проведения совместных конкурсов или аукционов является осуществление заказчиками закупок одних и тех же товаров, работ, услуг.</w:t>
      </w:r>
    </w:p>
    <w:p w:rsidR="00D670CF" w:rsidRDefault="00D670CF">
      <w:pPr>
        <w:pStyle w:val="ConsPlusNormal"/>
        <w:spacing w:before="220"/>
        <w:ind w:firstLine="540"/>
        <w:jc w:val="both"/>
      </w:pPr>
      <w:r>
        <w:t xml:space="preserve">Под "одними и теми же товарами" в контексте указанной </w:t>
      </w:r>
      <w:hyperlink r:id="rId13" w:history="1">
        <w:r>
          <w:rPr>
            <w:color w:val="0000FF"/>
          </w:rPr>
          <w:t>нормы</w:t>
        </w:r>
      </w:hyperlink>
      <w:r>
        <w:t xml:space="preserve"> следует понимать товары, имеющие единые родовые признаки или составляющие комплект таких товаров.</w:t>
      </w:r>
    </w:p>
    <w:p w:rsidR="00D670CF" w:rsidRDefault="00D670CF">
      <w:pPr>
        <w:pStyle w:val="ConsPlusNormal"/>
        <w:spacing w:before="220"/>
        <w:ind w:firstLine="540"/>
        <w:jc w:val="both"/>
      </w:pPr>
      <w:r>
        <w:t xml:space="preserve">Данное понятие содержится в </w:t>
      </w:r>
      <w:hyperlink r:id="rId14" w:history="1">
        <w:r>
          <w:rPr>
            <w:color w:val="0000FF"/>
          </w:rPr>
          <w:t>Обзоре</w:t>
        </w:r>
      </w:hyperlink>
      <w:r>
        <w:t xml:space="preserve"> судебной практики применения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утвержденном Президиумом Верховного Суда РФ 28.06.2017 (далее - Обзор).</w:t>
      </w:r>
    </w:p>
    <w:p w:rsidR="00D670CF" w:rsidRDefault="00D670CF">
      <w:pPr>
        <w:pStyle w:val="ConsPlusNormal"/>
        <w:spacing w:before="220"/>
        <w:ind w:firstLine="540"/>
        <w:jc w:val="both"/>
      </w:pPr>
      <w:r>
        <w:t xml:space="preserve">Кроме того, в указанном </w:t>
      </w:r>
      <w:hyperlink r:id="rId15" w:history="1">
        <w:r>
          <w:rPr>
            <w:color w:val="0000FF"/>
          </w:rPr>
          <w:t>Обзоре</w:t>
        </w:r>
      </w:hyperlink>
      <w:r>
        <w:t xml:space="preserve"> подробно отражена практика применения и толкования судами положений </w:t>
      </w:r>
      <w:hyperlink r:id="rId16" w:history="1">
        <w:r>
          <w:rPr>
            <w:color w:val="0000FF"/>
          </w:rPr>
          <w:t>ст. 25</w:t>
        </w:r>
      </w:hyperlink>
      <w:r>
        <w:t xml:space="preserve"> Закона о контрактной системе при осуществлении заказчиками совместных закупок с приведением примеров товаров, имеющих единые родовые признаки или составляющих комплект таких товаров.</w:t>
      </w:r>
    </w:p>
    <w:p w:rsidR="00D670CF" w:rsidRDefault="00D670CF">
      <w:pPr>
        <w:pStyle w:val="ConsPlusNormal"/>
        <w:spacing w:before="220"/>
        <w:ind w:firstLine="540"/>
        <w:jc w:val="both"/>
      </w:pPr>
      <w:r>
        <w:lastRenderedPageBreak/>
        <w:t>При этом</w:t>
      </w:r>
      <w:proofErr w:type="gramStart"/>
      <w:r>
        <w:t>,</w:t>
      </w:r>
      <w:proofErr w:type="gramEnd"/>
      <w:r>
        <w:t xml:space="preserve"> по мнению Верховного Суда РФ, наличие у заказчиков единой цели не является достаточным основанием для проведения ими совместной закупки, предусмотренной </w:t>
      </w:r>
      <w:hyperlink r:id="rId17" w:history="1">
        <w:r>
          <w:rPr>
            <w:color w:val="0000FF"/>
          </w:rPr>
          <w:t>частью 1 статьи 25</w:t>
        </w:r>
      </w:hyperlink>
      <w:r>
        <w:t xml:space="preserve"> Закона о контрактной системе.</w:t>
      </w:r>
    </w:p>
    <w:p w:rsidR="00D670CF" w:rsidRDefault="00D670CF">
      <w:pPr>
        <w:pStyle w:val="ConsPlusNormal"/>
        <w:spacing w:before="220"/>
        <w:ind w:firstLine="540"/>
        <w:jc w:val="both"/>
      </w:pPr>
      <w:r>
        <w:t xml:space="preserve">Следует отметить, что включение в состав одного лота, объекта закупки товаров, работ, услуг, технологически и функционально не связанных между собой, образует событие административного правонарушения, ответственность за совершение которого предусмотрена </w:t>
      </w:r>
      <w:hyperlink r:id="rId18" w:history="1">
        <w:r>
          <w:rPr>
            <w:color w:val="0000FF"/>
          </w:rPr>
          <w:t>ч. 4.1 ст. 7.30</w:t>
        </w:r>
      </w:hyperlink>
      <w:r>
        <w:t xml:space="preserve"> КоАП РФ.</w:t>
      </w:r>
    </w:p>
    <w:p w:rsidR="00D670CF" w:rsidRDefault="00D670CF">
      <w:pPr>
        <w:pStyle w:val="ConsPlusNormal"/>
        <w:spacing w:before="220"/>
        <w:ind w:firstLine="540"/>
        <w:jc w:val="both"/>
      </w:pPr>
      <w:proofErr w:type="gramStart"/>
      <w:r>
        <w:t>На основании вышеизложенного, полагаю необходимым учесть позицию Верховного Суда РФ, отраженную в Обзоре, при проведении совместных закупок на поставку продуктов питания, а также не допустить включение в состав объекта данной совместной закупки поставку товаров, технологически и функционально не связанных между собой (например: поставку молочной и мясной продукции и т.п.).</w:t>
      </w:r>
      <w:proofErr w:type="gramEnd"/>
    </w:p>
    <w:p w:rsidR="00D670CF" w:rsidRDefault="00D670CF">
      <w:pPr>
        <w:pStyle w:val="ConsPlusNormal"/>
        <w:ind w:firstLine="540"/>
        <w:jc w:val="both"/>
      </w:pPr>
    </w:p>
    <w:p w:rsidR="00D670CF" w:rsidRDefault="00D670CF">
      <w:pPr>
        <w:pStyle w:val="ConsPlusNormal"/>
        <w:ind w:firstLine="540"/>
        <w:jc w:val="both"/>
      </w:pPr>
    </w:p>
    <w:p w:rsidR="00D670CF" w:rsidRDefault="00D670C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73F4" w:rsidRDefault="005273F4">
      <w:bookmarkStart w:id="0" w:name="_GoBack"/>
      <w:bookmarkEnd w:id="0"/>
    </w:p>
    <w:sectPr w:rsidR="005273F4" w:rsidSect="0015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0CF"/>
    <w:rsid w:val="005273F4"/>
    <w:rsid w:val="00D6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70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70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70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70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70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70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761CACE942AEE94CEEBF93B06D52DBCDC21249578B87607D3CAC0A2B081057999E5750658CA75FKAdDL" TargetMode="External"/><Relationship Id="rId13" Type="http://schemas.openxmlformats.org/officeDocument/2006/relationships/hyperlink" Target="consultantplus://offline/ref=67761CACE942AEE94CEEBF93B06D52DBCDC21249578B87607D3CAC0A2B081057999E5750658CA75FKAdDL" TargetMode="External"/><Relationship Id="rId18" Type="http://schemas.openxmlformats.org/officeDocument/2006/relationships/hyperlink" Target="consultantplus://offline/ref=67761CACE942AEE94CEEBF93B06D52DBCDC81A4E5A8C87607D3CAC0A2B081057999E57556C84KAd0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7761CACE942AEE94CEEBF93B06D52DBCDC91B4A598587607D3CAC0A2BK0d8L" TargetMode="External"/><Relationship Id="rId12" Type="http://schemas.openxmlformats.org/officeDocument/2006/relationships/hyperlink" Target="consultantplus://offline/ref=67761CACE942AEE94CEEBF93B06D52DBCDC21249578B87607D3CAC0A2B081057999E5750658CA75FKAdDL" TargetMode="External"/><Relationship Id="rId17" Type="http://schemas.openxmlformats.org/officeDocument/2006/relationships/hyperlink" Target="consultantplus://offline/ref=67761CACE942AEE94CEEBF93B06D52DBCDC21249578B87607D3CAC0A2B081057999E5750658CA75FKAdD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7761CACE942AEE94CEEBF93B06D52DBCDC21249578B87607D3CAC0A2B081057999E5750658DA351KAd7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761CACE942AEE94CEEBF93B06D52DBCDC21249578B87607D3CAC0A2B081057999E5750658CA75FKAdDL" TargetMode="External"/><Relationship Id="rId11" Type="http://schemas.openxmlformats.org/officeDocument/2006/relationships/hyperlink" Target="consultantplus://offline/ref=67761CACE942AEE94CEEBF93B06D52DBCDC21249578B87607D3CAC0A2B081057999E5750658FA157KAd6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7761CACE942AEE94CEEBF93B06D52DBCDC11B45588B87607D3CAC0A2BK0d8L" TargetMode="External"/><Relationship Id="rId10" Type="http://schemas.openxmlformats.org/officeDocument/2006/relationships/hyperlink" Target="consultantplus://offline/ref=67761CACE942AEE94CEEBF93B06D52DBCDC21249578B87607D3CAC0A2B081057999E5750658DA054KAd6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7761CACE942AEE94CEEBF93B06D52DBCDC21249578B87607D3CAC0A2B081057999E575362K8dFL" TargetMode="External"/><Relationship Id="rId14" Type="http://schemas.openxmlformats.org/officeDocument/2006/relationships/hyperlink" Target="consultantplus://offline/ref=67761CACE942AEE94CEEBF93B06D52DBCDC11B45588B87607D3CAC0A2B081057999E5750658DA155KAd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2018-06-22T11:29:00Z</dcterms:created>
  <dcterms:modified xsi:type="dcterms:W3CDTF">2018-06-22T11:29:00Z</dcterms:modified>
</cp:coreProperties>
</file>