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566" w:rsidRDefault="00C43566">
      <w:pPr>
        <w:widowControl w:val="0"/>
        <w:autoSpaceDE w:val="0"/>
        <w:autoSpaceDN w:val="0"/>
        <w:adjustRightInd w:val="0"/>
        <w:spacing w:after="0" w:line="240" w:lineRule="auto"/>
        <w:jc w:val="both"/>
        <w:outlineLvl w:val="0"/>
        <w:rPr>
          <w:rFonts w:ascii="Calibri" w:hAnsi="Calibri" w:cs="Calibri"/>
        </w:rPr>
      </w:pPr>
    </w:p>
    <w:p w:rsidR="00C43566" w:rsidRDefault="00C43566">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C43566" w:rsidRDefault="00C43566">
      <w:pPr>
        <w:widowControl w:val="0"/>
        <w:autoSpaceDE w:val="0"/>
        <w:autoSpaceDN w:val="0"/>
        <w:adjustRightInd w:val="0"/>
        <w:spacing w:after="0" w:line="240" w:lineRule="auto"/>
        <w:jc w:val="center"/>
        <w:rPr>
          <w:rFonts w:ascii="Calibri" w:hAnsi="Calibri" w:cs="Calibri"/>
          <w:b/>
          <w:bCs/>
        </w:rPr>
      </w:pPr>
    </w:p>
    <w:p w:rsidR="00C43566" w:rsidRDefault="00C435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43566" w:rsidRDefault="00C435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августа 2010 г. N 636</w:t>
      </w:r>
    </w:p>
    <w:p w:rsidR="00C43566" w:rsidRDefault="00C43566">
      <w:pPr>
        <w:widowControl w:val="0"/>
        <w:autoSpaceDE w:val="0"/>
        <w:autoSpaceDN w:val="0"/>
        <w:adjustRightInd w:val="0"/>
        <w:spacing w:after="0" w:line="240" w:lineRule="auto"/>
        <w:jc w:val="center"/>
        <w:rPr>
          <w:rFonts w:ascii="Calibri" w:hAnsi="Calibri" w:cs="Calibri"/>
          <w:b/>
          <w:bCs/>
        </w:rPr>
      </w:pPr>
    </w:p>
    <w:p w:rsidR="00C43566" w:rsidRDefault="00C435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ТРЕБОВАНИЯХ</w:t>
      </w:r>
    </w:p>
    <w:p w:rsidR="00C43566" w:rsidRDefault="00C435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УСЛОВИЯМ КОНТРАКТА НА ЭНЕРГОСЕРВИС И ОБ ОСОБЕННОСТЯХ</w:t>
      </w:r>
    </w:p>
    <w:p w:rsidR="00C43566" w:rsidRDefault="00C435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ОПРЕДЕЛЕНИЯ НАЧАЛЬНОЙ (МАКСИМАЛЬНОЙ) ЦЕНЫ КОНТРАКТА</w:t>
      </w:r>
    </w:p>
    <w:p w:rsidR="00C43566" w:rsidRDefault="00C4356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(ЦЕНЫ ЛОТА) НА ЭНЕРГОСЕРВИС</w:t>
      </w:r>
    </w:p>
    <w:p w:rsidR="00C43566" w:rsidRDefault="00C43566">
      <w:pPr>
        <w:widowControl w:val="0"/>
        <w:autoSpaceDE w:val="0"/>
        <w:autoSpaceDN w:val="0"/>
        <w:adjustRightInd w:val="0"/>
        <w:spacing w:after="0" w:line="240" w:lineRule="auto"/>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 размещении заказов на поставки товаров, выполнение работ, оказание услуг для государственных и муниципальных нужд" Правительство Российской Федерации постановляет:</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Установить:</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условиям контракта на энергосервис согласно </w:t>
      </w:r>
      <w:hyperlink w:anchor="Par29" w:history="1">
        <w:r>
          <w:rPr>
            <w:rFonts w:ascii="Calibri" w:hAnsi="Calibri" w:cs="Calibri"/>
            <w:color w:val="0000FF"/>
          </w:rPr>
          <w:t>приложению N 1</w:t>
        </w:r>
      </w:hyperlink>
      <w:r>
        <w:rPr>
          <w:rFonts w:ascii="Calibri" w:hAnsi="Calibri" w:cs="Calibri"/>
        </w:rPr>
        <w:t>;</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определения начальной (максимальной) цены контракта (цены лота) на энергосервис согласно </w:t>
      </w:r>
      <w:hyperlink w:anchor="Par80" w:history="1">
        <w:r>
          <w:rPr>
            <w:rFonts w:ascii="Calibri" w:hAnsi="Calibri" w:cs="Calibri"/>
            <w:color w:val="0000FF"/>
          </w:rPr>
          <w:t>приложению N 2</w:t>
        </w:r>
      </w:hyperlink>
      <w:r>
        <w:rPr>
          <w:rFonts w:ascii="Calibri" w:hAnsi="Calibri" w:cs="Calibri"/>
        </w:rPr>
        <w:t>.</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jc w:val="right"/>
        <w:outlineLvl w:val="0"/>
        <w:rPr>
          <w:rFonts w:ascii="Calibri" w:hAnsi="Calibri" w:cs="Calibri"/>
        </w:rPr>
      </w:pPr>
      <w:bookmarkStart w:id="1" w:name="Par24"/>
      <w:bookmarkEnd w:id="1"/>
      <w:r>
        <w:rPr>
          <w:rFonts w:ascii="Calibri" w:hAnsi="Calibri" w:cs="Calibri"/>
        </w:rPr>
        <w:t>Приложение N 1</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от 18 августа 2010 г. N 636</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jc w:val="center"/>
        <w:rPr>
          <w:rFonts w:ascii="Calibri" w:hAnsi="Calibri" w:cs="Calibri"/>
        </w:rPr>
      </w:pPr>
      <w:bookmarkStart w:id="2" w:name="Par29"/>
      <w:bookmarkEnd w:id="2"/>
      <w:r>
        <w:rPr>
          <w:rFonts w:ascii="Calibri" w:hAnsi="Calibri" w:cs="Calibri"/>
        </w:rPr>
        <w:t>ТРЕБОВАНИЯ</w:t>
      </w:r>
    </w:p>
    <w:p w:rsidR="00C43566" w:rsidRDefault="00C43566">
      <w:pPr>
        <w:widowControl w:val="0"/>
        <w:autoSpaceDE w:val="0"/>
        <w:autoSpaceDN w:val="0"/>
        <w:adjustRightInd w:val="0"/>
        <w:spacing w:after="0" w:line="240" w:lineRule="auto"/>
        <w:jc w:val="center"/>
        <w:rPr>
          <w:rFonts w:ascii="Calibri" w:hAnsi="Calibri" w:cs="Calibri"/>
        </w:rPr>
      </w:pPr>
      <w:r>
        <w:rPr>
          <w:rFonts w:ascii="Calibri" w:hAnsi="Calibri" w:cs="Calibri"/>
        </w:rPr>
        <w:t>К УСЛОВИЯМ КОНТРАКТА НА ЭНЕРГОСЕРВИС</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Наличие перечня мероприятий, направленных на энергосбережение и повышение энергетической эффективности, которые обязан выполнить исполнитель контракта на энергосервис (далее соответственно - перечень мероприятий, исполнитель, контракт), с подробным техническим описанием каждого мероприятия и сроками их выполнения, сформированного государственным или муниципальным заказчиком контракта на энергосервис (далее - заказчик), включенного в конкурсную документацию, документацию об аукционе, документацию об открытом аукционе в электронной форме, извещение о проведении</w:t>
      </w:r>
      <w:proofErr w:type="gramEnd"/>
      <w:r>
        <w:rPr>
          <w:rFonts w:ascii="Calibri" w:hAnsi="Calibri" w:cs="Calibri"/>
        </w:rPr>
        <w:t xml:space="preserve"> запроса котировок.</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формирования перечня мероприятий заказчиком - включение в контракт перечня мероприятий, сформированного в заявке участника размещения заказа, с которым заключается контракт.</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мероприятий может формироваться на основании:</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энергетического паспорта, составленного по результатам обязательного энергетического обследования и включаемого заказчиком в конкурсную документацию, документацию об аукционе, документацию об открытом аукционе в электронной форме, извещение о проведении запроса котировок;</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актуальных на дату формирования перечня мероприятий сведений об объекте (при отсутствии у заказчика энергетического паспорта или изменении информации об объекте (объектах) со времени его составления). </w:t>
      </w:r>
      <w:proofErr w:type="gramStart"/>
      <w:r>
        <w:rPr>
          <w:rFonts w:ascii="Calibri" w:hAnsi="Calibri" w:cs="Calibri"/>
        </w:rPr>
        <w:t xml:space="preserve">Для формирования перечня мероприятий может </w:t>
      </w:r>
      <w:r>
        <w:rPr>
          <w:rFonts w:ascii="Calibri" w:hAnsi="Calibri" w:cs="Calibri"/>
        </w:rPr>
        <w:lastRenderedPageBreak/>
        <w:t>использоваться информация о количестве объектов (зданий), годе постройки, типе ограждающих конструкций, годе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об объеме потребления энергетического ресурса за предыдущие периоды, указанная заказчиком в конкурсной документации, документации об аукционе, документации об открытом аукционе в электронной форме, извещении о проведении запроса котировок, и</w:t>
      </w:r>
      <w:proofErr w:type="gramEnd"/>
      <w:r>
        <w:rPr>
          <w:rFonts w:ascii="Calibri" w:hAnsi="Calibri" w:cs="Calibri"/>
        </w:rPr>
        <w:t xml:space="preserve"> дополнительная информация, собранная участниками размещения заказа на объекте (объектах) самостоятельно.</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заказчиком свободного доступа потенциальных участников размещения заказов к объектам, в отношении которых предполагается осуществление исполнителем действий, направленных на энергосбережение и повышение энергетической эффективности.</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компенсации участникам размещения заказов затрат, понесенных ими при проведении подготовительных работ для подготовки конкурсного предложения, предложения на аукцион, открытый аукцион в электронной форме или ответа на запрос котировок.</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Определение размера экономии энергетического ресурса, который должен обеспечиваться исполнителем в результате исполнения </w:t>
      </w:r>
      <w:proofErr w:type="gramStart"/>
      <w:r>
        <w:rPr>
          <w:rFonts w:ascii="Calibri" w:hAnsi="Calibri" w:cs="Calibri"/>
        </w:rPr>
        <w:t>контракта</w:t>
      </w:r>
      <w:proofErr w:type="gramEnd"/>
      <w:r>
        <w:rPr>
          <w:rFonts w:ascii="Calibri" w:hAnsi="Calibri" w:cs="Calibri"/>
        </w:rPr>
        <w:t xml:space="preserve"> в натуральном выражении исходя из размера экономии в денежном выражении, сложившегося в результате размещения государственного (муниципального) заказа на энергосервис путем проведения конкурса, запроса котировок, аукциона (в том числе открытого аукциона в электронной форме), на условиях, предусмотренных для размещения заказа </w:t>
      </w:r>
      <w:hyperlink r:id="rId6" w:history="1">
        <w:r>
          <w:rPr>
            <w:rFonts w:ascii="Calibri" w:hAnsi="Calibri" w:cs="Calibri"/>
            <w:color w:val="0000FF"/>
          </w:rPr>
          <w:t>частью 3 статьи 56.1</w:t>
        </w:r>
      </w:hyperlink>
      <w:r>
        <w:rPr>
          <w:rFonts w:ascii="Calibri" w:hAnsi="Calibri" w:cs="Calibri"/>
        </w:rPr>
        <w:t xml:space="preserve"> Федерального закона "О размещении заказов на поставки товаров, выполнение работ, оказание услуг для государственных и муниципальных нужд", и стоимости единицы энергетического ресурса, действующей на дату опубликования и (или) размещения извещения о проведении открытого конкурса или открытого аукциона, запроса котировок, направления приглашения принять участие в закрытом конкурсе или аукционе (далее - объявление о проведении отбора).</w:t>
      </w:r>
    </w:p>
    <w:p w:rsidR="00C43566" w:rsidRDefault="00C435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стоимости единицы энергетического ресурса при осуществлении расчетов за поставку (куплю-продажу, передачу) энергетического ресурса по нескольким ценам (тарифам) как средневзвешенной цены (тарифа), равной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rPr>
          <w:rFonts w:ascii="Calibri" w:hAnsi="Calibri" w:cs="Calibri"/>
        </w:rPr>
        <w:t xml:space="preserve"> за соответствующие объемы энергетического ресурса, к суммарному объему поставки (купли-продажи, передачи) энергетического ресурса.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размера экономии энергетического ресурса в натуральном выражении, который должен обеспечиваться исполнителем в результате исполнения контракта за весь срок действия контракта, а также доли размера экономии в натуральном выражении, который должен обеспечиваться исполнителем за определенный период (далее - доли размера экономии).</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Наличие положения, предусматривающего, что обязательство исполнителя по обеспечению экономии расходов заказчика на поставки энергетических ресурсов считается исполненным, если размер экономии, достигнутой в результате исполнения контракта, в натуральном выражении равен или больше размера экономии энергетического ресурса, указанного в контракте.</w:t>
      </w:r>
    </w:p>
    <w:p w:rsidR="00C43566" w:rsidRDefault="00C435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размера экономии, достигнутого в результате исполнения контракта, как разницы между объемом потребления заказчиком энергетического ресурса за период, равный календарному периоду достижения установленного в контракте размера экономии (доли размера экономии), определенного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и с учетом изменений факторов, оказывающих влияние на объемы потребления энергетических ресурсов.</w:t>
      </w:r>
      <w:proofErr w:type="gramEnd"/>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экономии, достигнутого в результате исполнения контракта, в натуральном выражении объем потребления энергетического ресурса после реализации исполнителем перечня мероприятий рассчитывается за календарный период, соответствующий календарному периоду, за который рассчитывался объем потребления энергетического ресурса до начала реализации исполнителем перечня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Определение объема потребления энергетического ресурса до реализации исполнителем </w:t>
      </w:r>
      <w:r>
        <w:rPr>
          <w:rFonts w:ascii="Calibri" w:hAnsi="Calibri" w:cs="Calibri"/>
        </w:rPr>
        <w:lastRenderedPageBreak/>
        <w:t>перечня мероприятий в следующем порядке:</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данных об объеме потребления энергетического ресурса, определенных при помощи прибора учета используемого энергетического ресурса, - на основании планируемого объема потребления энергетического ресурса, сформированного заказчиком по фактическим данным об объеме потребления энергетического ресурса, определенным при помощи прибора учета используемого энергетического ресурса в предшествующий период, до реализации исполнителем перечня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отсутствии данных об объеме потребления энергетического ресурса, определенных при помощи прибора учета используемого энергетического ресурса, - с учетом установки исполнителем прибора учета используемого энергетического ресурса и фиксации сторонами данных об объеме (доле объема) потребления энергетического ресурса заказчиком, полученных при помощи этого прибора за период, который составляет не менее одного календарного месяца до начала реализации перечня мероприятий.</w:t>
      </w:r>
      <w:proofErr w:type="gramEnd"/>
      <w:r>
        <w:rPr>
          <w:rFonts w:ascii="Calibri" w:hAnsi="Calibri" w:cs="Calibri"/>
        </w:rPr>
        <w:t xml:space="preserve"> Данные об объеме (доле объема) потребления энергетического ресурса заказчиком, полученные при помощи прибора учета используемого энергетического ресурса, принимаются как объем потребления с учетом </w:t>
      </w:r>
      <w:hyperlink w:anchor="Par50" w:history="1">
        <w:r>
          <w:rPr>
            <w:rFonts w:ascii="Calibri" w:hAnsi="Calibri" w:cs="Calibri"/>
            <w:color w:val="0000FF"/>
          </w:rPr>
          <w:t>пункта 8</w:t>
        </w:r>
      </w:hyperlink>
      <w:r>
        <w:rPr>
          <w:rFonts w:ascii="Calibri" w:hAnsi="Calibri" w:cs="Calibri"/>
        </w:rPr>
        <w:t xml:space="preserve"> настоящих требований.</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потребления энергетического ресурса заказчиком, зафиксированный сторонами до начала реализации перечня мероприятий, не может превышать объем фактического потребления заказчиком соответствующего энергетического ресурса за прошедший календарный период, предшествующий дате объявления о проведении отбора, соответствующий календарному периоду достижения размера экономии (доли размера экономии) по контракту.</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Указание </w:t>
      </w:r>
      <w:proofErr w:type="gramStart"/>
      <w:r>
        <w:rPr>
          <w:rFonts w:ascii="Calibri" w:hAnsi="Calibri" w:cs="Calibri"/>
        </w:rPr>
        <w:t>порядка определения объема потребления энергетического ресурса</w:t>
      </w:r>
      <w:proofErr w:type="gramEnd"/>
      <w:r>
        <w:rPr>
          <w:rFonts w:ascii="Calibri" w:hAnsi="Calibri" w:cs="Calibri"/>
        </w:rPr>
        <w:t xml:space="preserve"> в натуральном выражении после реализации исполнителем перечня мероприятий на основании объемов, зафиксированных прибором учета используемого энергетического ресурса, в течение определенного сторонами периода, который составляет не менее одного календарного месяца.</w:t>
      </w:r>
    </w:p>
    <w:p w:rsidR="00C43566" w:rsidRDefault="00C43566">
      <w:pPr>
        <w:widowControl w:val="0"/>
        <w:autoSpaceDE w:val="0"/>
        <w:autoSpaceDN w:val="0"/>
        <w:adjustRightInd w:val="0"/>
        <w:spacing w:after="0" w:line="240" w:lineRule="auto"/>
        <w:ind w:firstLine="540"/>
        <w:jc w:val="both"/>
        <w:rPr>
          <w:rFonts w:ascii="Calibri" w:hAnsi="Calibri" w:cs="Calibri"/>
        </w:rPr>
      </w:pPr>
      <w:bookmarkStart w:id="3" w:name="Par50"/>
      <w:bookmarkEnd w:id="3"/>
      <w:r>
        <w:rPr>
          <w:rFonts w:ascii="Calibri" w:hAnsi="Calibri" w:cs="Calibri"/>
        </w:rPr>
        <w:t xml:space="preserve">8. </w:t>
      </w:r>
      <w:proofErr w:type="gramStart"/>
      <w:r>
        <w:rPr>
          <w:rFonts w:ascii="Calibri" w:hAnsi="Calibri" w:cs="Calibri"/>
        </w:rPr>
        <w:t>Учет при определении размера экономии, достигнутого в результате исполнения контракта, факторов, влияющих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энергоресурсов,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roofErr w:type="gramEnd"/>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Определение размера экономии, достигнутого в результате исполнения контракта, без учета экономии (разности между данными об объеме потребления энергетического ресурса, используемыми до установки прибора учета используемого энергетического ресурса, и данными, полученными при помощи установленного прибора учета), полученной за счет установки прибора учета используемого энергетического ресурса.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 xml:space="preserve">Определение механизма распределения между сторонами контракта дополнительной экономии энергетического ресурса, составляющей произведение цены (тарифа) энергетического ресурса, определяемой в соответствии с </w:t>
      </w:r>
      <w:hyperlink w:anchor="Par54" w:history="1">
        <w:r>
          <w:rPr>
            <w:rFonts w:ascii="Calibri" w:hAnsi="Calibri" w:cs="Calibri"/>
            <w:color w:val="0000FF"/>
          </w:rPr>
          <w:t>пунктом 12</w:t>
        </w:r>
      </w:hyperlink>
      <w:r>
        <w:rPr>
          <w:rFonts w:ascii="Calibri" w:hAnsi="Calibri" w:cs="Calibri"/>
        </w:rPr>
        <w:t xml:space="preserve"> настоящих требований, и положительной разницы между размером достигнутой в результате исполнения контракта экономии в натуральном выражении и размером экономии в натуральном выражении, который должен обеспечиваться исполнителем по условиям заключенного контракта.</w:t>
      </w:r>
      <w:proofErr w:type="gramEnd"/>
      <w:r>
        <w:rPr>
          <w:rFonts w:ascii="Calibri" w:hAnsi="Calibri" w:cs="Calibri"/>
        </w:rPr>
        <w:t xml:space="preserve"> При этом процент дополнительной экономии, выплачиваемый исполнителю, не может превышать фиксированный процент экономии в денежном выражении соответствующих расходов заказчика на получение энергетического ресурса, предусмотренного контрактом.</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Указание начального и конечного срока достижения предусмотренного контрактом размера экономии, а также периодов достижения долей размера экономии, продолжительность которых не может быть менее одного месяца и более одного года.</w:t>
      </w:r>
    </w:p>
    <w:p w:rsidR="00C43566" w:rsidRDefault="00C43566">
      <w:pPr>
        <w:widowControl w:val="0"/>
        <w:autoSpaceDE w:val="0"/>
        <w:autoSpaceDN w:val="0"/>
        <w:adjustRightInd w:val="0"/>
        <w:spacing w:after="0" w:line="240" w:lineRule="auto"/>
        <w:ind w:firstLine="540"/>
        <w:jc w:val="both"/>
        <w:rPr>
          <w:rFonts w:ascii="Calibri" w:hAnsi="Calibri" w:cs="Calibri"/>
        </w:rPr>
      </w:pPr>
      <w:bookmarkStart w:id="4" w:name="Par54"/>
      <w:bookmarkEnd w:id="4"/>
      <w:r>
        <w:rPr>
          <w:rFonts w:ascii="Calibri" w:hAnsi="Calibri" w:cs="Calibri"/>
        </w:rPr>
        <w:t xml:space="preserve">12. Включение в контракт положения, согласно которому размер платежа устанавливается как процент от достигнутого размера экономии соответствующих расходов заказчика на оплату энергетического ресурса, определенного в стоимостном выражении по ценам (тарифам) на соответствующий энергетический ресурс, фактически сложившимся за период достижения предусмотренного контрактом размера экономии, </w:t>
      </w:r>
      <w:proofErr w:type="gramStart"/>
      <w:r>
        <w:rPr>
          <w:rFonts w:ascii="Calibri" w:hAnsi="Calibri" w:cs="Calibri"/>
        </w:rPr>
        <w:t>покрывающий</w:t>
      </w:r>
      <w:proofErr w:type="gramEnd"/>
      <w:r>
        <w:rPr>
          <w:rFonts w:ascii="Calibri" w:hAnsi="Calibri" w:cs="Calibri"/>
        </w:rPr>
        <w:t xml:space="preserve"> в том числе расходы </w:t>
      </w:r>
      <w:r>
        <w:rPr>
          <w:rFonts w:ascii="Calibri" w:hAnsi="Calibri" w:cs="Calibri"/>
        </w:rPr>
        <w:lastRenderedPageBreak/>
        <w:t>исполнителя по реализации перечня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Определение в целях оплаты контракта на энергосервис фактически сложившихся за период исполнения контракта цен (тарифов) на соответствующие энергетические ресурсы как средневзвешенной цены (тарифа), равной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сложившиеся за период достижения размера экономии (доли размера экономии), к суммарному объему поставки (купли-продажи, передачи</w:t>
      </w:r>
      <w:proofErr w:type="gramEnd"/>
      <w:r>
        <w:rPr>
          <w:rFonts w:ascii="Calibri" w:hAnsi="Calibri" w:cs="Calibri"/>
        </w:rPr>
        <w:t>) энергетического ресурса за этот период.</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Определение сроков оплаты заказчиком долей размера экономии по контракту, которые должны составлять 5 - 30 дней со дня </w:t>
      </w:r>
      <w:proofErr w:type="gramStart"/>
      <w:r>
        <w:rPr>
          <w:rFonts w:ascii="Calibri" w:hAnsi="Calibri" w:cs="Calibri"/>
        </w:rPr>
        <w:t>окончания периода достижения доли размера</w:t>
      </w:r>
      <w:proofErr w:type="gramEnd"/>
      <w:r>
        <w:rPr>
          <w:rFonts w:ascii="Calibri" w:hAnsi="Calibri" w:cs="Calibri"/>
        </w:rPr>
        <w:t xml:space="preserve"> экономии, за который осуществляются расчеты. Окончательные расчеты по контракту должны осуществляться сторонами по факту достижения предусмотренного контрактом размера экономии.</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Заключение контракта в отношении объекта, на котором до даты заключения контракта собственником или соответствующей эксплуатирующей организацией обеспечено соблюдение всех установленных санитарно-гигиенических и технических требований по режимам энерг</w:t>
      </w:r>
      <w:proofErr w:type="gramStart"/>
      <w:r>
        <w:rPr>
          <w:rFonts w:ascii="Calibri" w:hAnsi="Calibri" w:cs="Calibri"/>
        </w:rPr>
        <w:t>о-</w:t>
      </w:r>
      <w:proofErr w:type="gramEnd"/>
      <w:r>
        <w:rPr>
          <w:rFonts w:ascii="Calibri" w:hAnsi="Calibri" w:cs="Calibri"/>
        </w:rPr>
        <w:t xml:space="preserve"> и ресурсоснабжения, режимам и параметрам работы энергопотребляющих установок, режимов и параметров эксплуатации объекта и помещений с учетом функционального назначения.</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невыполнения указанных требований и норм информация об этом указывается в контракте и мероприятия по обеспечению их выполнения включаются в перечень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Включение следующих обязанностей исполнителя:</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надлежащих условий для осуществления заказчиком текущей деятельности, соответствующих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согласованных сторонами режимов и условий использования энергетических ресурсов.</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Включение следующих обязанностей заказчика: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актуальных сведений об объекте,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направленные на энергосбережение и повышение энергетической эффективности, включенные в перечень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содержание и обслуживание объекта, если такие обязанности не возложены условиями контракта на исполнителя,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 а также оборудования, установленного в ходе проведения указанных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согласованных сторонами режимов и условий использования энергетических ресурсов;</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допуска представителей исполнителя на объект, в отношении которого осуществляются мероприятия, направленные на энергосбережение и повышение энергетической эффективности, включенные в перечень мероприятий.</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proofErr w:type="gramStart"/>
      <w:r>
        <w:rPr>
          <w:rFonts w:ascii="Calibri" w:hAnsi="Calibri" w:cs="Calibri"/>
        </w:rPr>
        <w:t xml:space="preserve">Указание в качестве меры ответственности за неисполнение исполнителем обязательства по достижению определенной в контракте доли размера экономии в течение соответствующего периода начисления исполнителю неустойки (штрафа, пени), рассчитанной как произведение одной сотой действующей на день уплаты неустойки (штрафа, пеней) ставки рефинансирования Центрального банка Российской Федерации на произведение цены (тарифа) энергетического ресурса, определяемой в соответствии с </w:t>
      </w:r>
      <w:hyperlink w:anchor="Par54" w:history="1">
        <w:r>
          <w:rPr>
            <w:rFonts w:ascii="Calibri" w:hAnsi="Calibri" w:cs="Calibri"/>
            <w:color w:val="0000FF"/>
          </w:rPr>
          <w:t>пунктом 12</w:t>
        </w:r>
      </w:hyperlink>
      <w:r>
        <w:rPr>
          <w:rFonts w:ascii="Calibri" w:hAnsi="Calibri" w:cs="Calibri"/>
        </w:rPr>
        <w:t xml:space="preserve"> настоящих требований, и разницы</w:t>
      </w:r>
      <w:proofErr w:type="gramEnd"/>
      <w:r>
        <w:rPr>
          <w:rFonts w:ascii="Calibri" w:hAnsi="Calibri" w:cs="Calibri"/>
        </w:rPr>
        <w:t xml:space="preserve"> между размером экономии энергетического ресурса в натуральном выражении, который должен был быть обеспечен исполнителем по контракту в соответствующий период, и фактически достигнутым в результате исполнения контракта в соответствующий период размером экономии в натуральном выражении, за каждый день просрочки.</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 xml:space="preserve">Указание в качестве меры ответственности за неисполнение или ненадлежащее </w:t>
      </w:r>
      <w:r>
        <w:rPr>
          <w:rFonts w:ascii="Calibri" w:hAnsi="Calibri" w:cs="Calibri"/>
        </w:rPr>
        <w:lastRenderedPageBreak/>
        <w:t>исполнение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направленных на энергосбережение и повышение энергетической эффективности, обязанности исполнителя безвозмездно устранить выявленные недостатки и</w:t>
      </w:r>
      <w:proofErr w:type="gramEnd"/>
      <w:r>
        <w:rPr>
          <w:rFonts w:ascii="Calibri" w:hAnsi="Calibri" w:cs="Calibri"/>
        </w:rPr>
        <w:t xml:space="preserve"> компенсировать убытки, возникшие у заказчика в результате неисполнения (ненадлежащего исполнения) указанного обязательства.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Наличие условия о порядке перехода к заказчику права собственности на оборудование, установленное исполнителем у заказчика в ходе осуществления мероприятий, направленных на энергосбережение и повышение энергетической эффективности.</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jc w:val="right"/>
        <w:outlineLvl w:val="0"/>
        <w:rPr>
          <w:rFonts w:ascii="Calibri" w:hAnsi="Calibri" w:cs="Calibri"/>
        </w:rPr>
      </w:pPr>
      <w:bookmarkStart w:id="5" w:name="Par75"/>
      <w:bookmarkEnd w:id="5"/>
      <w:r>
        <w:rPr>
          <w:rFonts w:ascii="Calibri" w:hAnsi="Calibri" w:cs="Calibri"/>
        </w:rPr>
        <w:t>Приложение N 2</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43566" w:rsidRDefault="00C43566">
      <w:pPr>
        <w:widowControl w:val="0"/>
        <w:autoSpaceDE w:val="0"/>
        <w:autoSpaceDN w:val="0"/>
        <w:adjustRightInd w:val="0"/>
        <w:spacing w:after="0" w:line="240" w:lineRule="auto"/>
        <w:jc w:val="right"/>
        <w:rPr>
          <w:rFonts w:ascii="Calibri" w:hAnsi="Calibri" w:cs="Calibri"/>
        </w:rPr>
      </w:pPr>
      <w:r>
        <w:rPr>
          <w:rFonts w:ascii="Calibri" w:hAnsi="Calibri" w:cs="Calibri"/>
        </w:rPr>
        <w:t>от 18 августа 2010 г. N 636</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jc w:val="center"/>
        <w:rPr>
          <w:rFonts w:ascii="Calibri" w:hAnsi="Calibri" w:cs="Calibri"/>
        </w:rPr>
      </w:pPr>
      <w:bookmarkStart w:id="6" w:name="Par80"/>
      <w:bookmarkEnd w:id="6"/>
      <w:r>
        <w:rPr>
          <w:rFonts w:ascii="Calibri" w:hAnsi="Calibri" w:cs="Calibri"/>
        </w:rPr>
        <w:t>ОСОБЕННОСТИ</w:t>
      </w:r>
    </w:p>
    <w:p w:rsidR="00C43566" w:rsidRDefault="00C43566">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НАЧАЛЬНОЙ (МАКСИМАЛЬНОЙ) ЦЕНЫ КОНТРАКТА</w:t>
      </w:r>
    </w:p>
    <w:p w:rsidR="00C43566" w:rsidRDefault="00C43566">
      <w:pPr>
        <w:widowControl w:val="0"/>
        <w:autoSpaceDE w:val="0"/>
        <w:autoSpaceDN w:val="0"/>
        <w:adjustRightInd w:val="0"/>
        <w:spacing w:after="0" w:line="240" w:lineRule="auto"/>
        <w:jc w:val="center"/>
        <w:rPr>
          <w:rFonts w:ascii="Calibri" w:hAnsi="Calibri" w:cs="Calibri"/>
        </w:rPr>
      </w:pPr>
      <w:r>
        <w:rPr>
          <w:rFonts w:ascii="Calibri" w:hAnsi="Calibri" w:cs="Calibri"/>
        </w:rPr>
        <w:t>(ЦЕНЫ ЛОТА) НА ЭНЕРГОСЕРВИС</w:t>
      </w: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контрактов на энергосервис, срок исполнения которых равен или меньше одного календарного года, начальная (максимальная) цена определяется как произведение фактического объема потребления энергетического ресурса за прошлый год и стоимости единицы энергетического ресурса. При этом стоимость единицы энергетического ресурса равна цене (тарифу), по которой заказчик осуществляет расчеты за поставку (куплю-продажу, передачу) энергетического ресурса и которая действует на дату объявления о проведении отбора.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В случае если заказчик осуществляет расчеты за поставку (куплю-продажу, передачу) энергетического ресурса по нескольким ценам (тарифам), стоимость единицы энергетического ресурса определяется как средневзвешенная цена (тариф), равная отношению суммы произведений объемов поставки (купли-продажи, передачи) энергетического ресурса, потребляемых заказчиком за один календарный месяц, предшествующий дате объявления о проведении отбора, и цен (тарифов), по которым осуществлялись расчеты за соответствующие объемы поставки (купли-продажи, передачи</w:t>
      </w:r>
      <w:proofErr w:type="gramEnd"/>
      <w:r>
        <w:rPr>
          <w:rFonts w:ascii="Calibri" w:hAnsi="Calibri" w:cs="Calibri"/>
        </w:rPr>
        <w:t>) энергетического ресурса, к суммарному объему поставки (купли-продажи, передачи) энергетического ресурса.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контрактов на энергосервис, срок исполнения которых составляет более одного календарного года, начальная (максимальная) цена контракта определяется как произведение фактического объема потребления энергетического ресурса за прошлый год, стоимости единицы энергетического ресурса на дату объявления о проведении отбора и минимального целого количества лет, составляющих срок исполнения контракта.</w:t>
      </w:r>
    </w:p>
    <w:p w:rsidR="00C43566" w:rsidRDefault="00C4356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 xml:space="preserve">В случае размещения заказа на энергосервис путем проведения конкурса, запроса котировок или аукциона, в том числе открытого аукциона в электронной форме, на условиях, предусмотренных </w:t>
      </w:r>
      <w:hyperlink r:id="rId7" w:history="1">
        <w:r>
          <w:rPr>
            <w:rFonts w:ascii="Calibri" w:hAnsi="Calibri" w:cs="Calibri"/>
            <w:color w:val="0000FF"/>
          </w:rPr>
          <w:t>пунктами 2</w:t>
        </w:r>
      </w:hyperlink>
      <w:r>
        <w:rPr>
          <w:rFonts w:ascii="Calibri" w:hAnsi="Calibri" w:cs="Calibri"/>
        </w:rPr>
        <w:t xml:space="preserve"> и </w:t>
      </w:r>
      <w:hyperlink r:id="rId8" w:history="1">
        <w:r>
          <w:rPr>
            <w:rFonts w:ascii="Calibri" w:hAnsi="Calibri" w:cs="Calibri"/>
            <w:color w:val="0000FF"/>
          </w:rPr>
          <w:t>3 части 5</w:t>
        </w:r>
      </w:hyperlink>
      <w:r>
        <w:rPr>
          <w:rFonts w:ascii="Calibri" w:hAnsi="Calibri" w:cs="Calibri"/>
        </w:rPr>
        <w:t xml:space="preserve"> и </w:t>
      </w:r>
      <w:hyperlink r:id="rId9" w:history="1">
        <w:r>
          <w:rPr>
            <w:rFonts w:ascii="Calibri" w:hAnsi="Calibri" w:cs="Calibri"/>
            <w:color w:val="0000FF"/>
          </w:rPr>
          <w:t>пунктами 2</w:t>
        </w:r>
      </w:hyperlink>
      <w:r>
        <w:rPr>
          <w:rFonts w:ascii="Calibri" w:hAnsi="Calibri" w:cs="Calibri"/>
        </w:rPr>
        <w:t xml:space="preserve"> и </w:t>
      </w:r>
      <w:hyperlink r:id="rId10" w:history="1">
        <w:r>
          <w:rPr>
            <w:rFonts w:ascii="Calibri" w:hAnsi="Calibri" w:cs="Calibri"/>
            <w:color w:val="0000FF"/>
          </w:rPr>
          <w:t>3 части 9 статьи 56.1</w:t>
        </w:r>
      </w:hyperlink>
      <w:r>
        <w:rPr>
          <w:rFonts w:ascii="Calibri" w:hAnsi="Calibri" w:cs="Calibri"/>
        </w:rPr>
        <w:t xml:space="preserve"> Федерального закона "О размещении заказов на поставки товаров, выполнение работ, оказание услуг для государственных и муниципальных нужд", предложение участника размещения заказа</w:t>
      </w:r>
      <w:proofErr w:type="gramEnd"/>
      <w:r>
        <w:rPr>
          <w:rFonts w:ascii="Calibri" w:hAnsi="Calibri" w:cs="Calibri"/>
        </w:rPr>
        <w:t xml:space="preserve"> </w:t>
      </w:r>
      <w:proofErr w:type="gramStart"/>
      <w:r>
        <w:rPr>
          <w:rFonts w:ascii="Calibri" w:hAnsi="Calibri" w:cs="Calibri"/>
        </w:rPr>
        <w:t>о размере экономии в денежном выражении определяется как произведение экономии расходов заказчика на поставки энергетического ресурса в натуральном выражении за весь период действия энергосервисного контракта и стоимости единицы энергетического ресурса, которая указана в конкурсной документации, документации об аукционе, документации об открытом аукционе в электронной форме и извещении о проведении запроса котировок.</w:t>
      </w:r>
      <w:proofErr w:type="gramEnd"/>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autoSpaceDE w:val="0"/>
        <w:autoSpaceDN w:val="0"/>
        <w:adjustRightInd w:val="0"/>
        <w:spacing w:after="0" w:line="240" w:lineRule="auto"/>
        <w:ind w:firstLine="540"/>
        <w:jc w:val="both"/>
        <w:rPr>
          <w:rFonts w:ascii="Calibri" w:hAnsi="Calibri" w:cs="Calibri"/>
        </w:rPr>
      </w:pPr>
    </w:p>
    <w:p w:rsidR="00C43566" w:rsidRDefault="00C4356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C740A" w:rsidRDefault="00FC740A">
      <w:bookmarkStart w:id="7" w:name="_GoBack"/>
      <w:bookmarkEnd w:id="7"/>
    </w:p>
    <w:sectPr w:rsidR="00FC740A" w:rsidSect="00747B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66"/>
    <w:rsid w:val="00C43566"/>
    <w:rsid w:val="00FC7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6DA1D770AEE52B7C53CF9E3CD48FF350F95E7FF50F305C6B97CE37149CBA8D3C8C8AB300055FEpEr8F" TargetMode="External"/><Relationship Id="rId3" Type="http://schemas.openxmlformats.org/officeDocument/2006/relationships/settings" Target="settings.xml"/><Relationship Id="rId7" Type="http://schemas.openxmlformats.org/officeDocument/2006/relationships/hyperlink" Target="consultantplus://offline/ref=EA36DA1D770AEE52B7C53CF9E3CD48FF350F95E7FF50F305C6B97CE37149CBA8D3C8C8AB300055FEpEr7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A36DA1D770AEE52B7C53CF9E3CD48FF350F95E7FF50F305C6B97CE37149CBA8D3C8C8AB300055FEpEr0F" TargetMode="External"/><Relationship Id="rId11" Type="http://schemas.openxmlformats.org/officeDocument/2006/relationships/fontTable" Target="fontTable.xml"/><Relationship Id="rId5" Type="http://schemas.openxmlformats.org/officeDocument/2006/relationships/hyperlink" Target="consultantplus://offline/ref=EA36DA1D770AEE52B7C53CF9E3CD48FF350F95E7FF50F305C6B97CE37149CBA8D3C8C8AB300055F0pEr6F" TargetMode="External"/><Relationship Id="rId10" Type="http://schemas.openxmlformats.org/officeDocument/2006/relationships/hyperlink" Target="consultantplus://offline/ref=EA36DA1D770AEE52B7C53CF9E3CD48FF350F95E7FF50F305C6B97CE37149CBA8D3C8C8AB300055F1pEr5F" TargetMode="External"/><Relationship Id="rId4" Type="http://schemas.openxmlformats.org/officeDocument/2006/relationships/webSettings" Target="webSettings.xml"/><Relationship Id="rId9" Type="http://schemas.openxmlformats.org/officeDocument/2006/relationships/hyperlink" Target="consultantplus://offline/ref=EA36DA1D770AEE52B7C53CF9E3CD48FF350F95E7FF50F305C6B97CE37149CBA8D3C8C8AB300055F1pEr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2894</Words>
  <Characters>16497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2013-12-18T05:43:00Z</dcterms:created>
  <dcterms:modified xsi:type="dcterms:W3CDTF">2013-12-18T05:44:00Z</dcterms:modified>
</cp:coreProperties>
</file>