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июля 2014 г. N 606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РАЗРАБОТКИ ТИПОВЫХ КОНТРАКТОВ, ТИПОВЫХ УСЛОВИЙ КОНТРАКТОВ,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 СЛУЧАЯХ И УСЛОВИЯХ ИХ ПРИМЕНЕНИЯ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разработки типовых контрактов, типовых условий контрактов.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 ввода в эксплуатацию единой информационной системы в сфере закупок типовые контракты, типовые условия контрактов размещаются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www.zakupki.gov.ru.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3. </w:t>
      </w:r>
      <w:hyperlink w:anchor="Par56" w:history="1">
        <w:r>
          <w:rPr>
            <w:rFonts w:ascii="Calibri" w:hAnsi="Calibri" w:cs="Calibri"/>
            <w:color w:val="0000FF"/>
          </w:rPr>
          <w:t>Подпункт "а" пункта 16</w:t>
        </w:r>
      </w:hyperlink>
      <w:r>
        <w:rPr>
          <w:rFonts w:ascii="Calibri" w:hAnsi="Calibri" w:cs="Calibri"/>
        </w:rPr>
        <w:t xml:space="preserve"> Правил разработки типовых контрактов, типовых условий контрактов, утвержденных настоящим постановлением, в части каталога товаров, работ, услуг для обеспечения государственных и муниципальных ну</w:t>
      </w:r>
      <w:proofErr w:type="gramStart"/>
      <w:r>
        <w:rPr>
          <w:rFonts w:ascii="Calibri" w:hAnsi="Calibri" w:cs="Calibri"/>
        </w:rPr>
        <w:t>жд вст</w:t>
      </w:r>
      <w:proofErr w:type="gramEnd"/>
      <w:r>
        <w:rPr>
          <w:rFonts w:ascii="Calibri" w:hAnsi="Calibri" w:cs="Calibri"/>
        </w:rPr>
        <w:t>упает в силу с 1 января 2017 г.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Утверждены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июля 2014 г. N 606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8"/>
      <w:bookmarkEnd w:id="3"/>
      <w:r>
        <w:rPr>
          <w:rFonts w:ascii="Calibri" w:hAnsi="Calibri" w:cs="Calibri"/>
          <w:b/>
          <w:bCs/>
        </w:rPr>
        <w:t>ПРАВИЛА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РАЗРАБОТКИ ТИПОВЫХ КОНТРАКТОВ, ТИПОВЫХ УСЛОВИЙ КОНТРАКТОВ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разработки типовых контрактов, типовых условий контрактов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составляющих библиотеку типовых контрактов, типовых условий контрактов, а также случаи и условия их применения.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"/>
      <w:bookmarkEnd w:id="4"/>
      <w:r>
        <w:rPr>
          <w:rFonts w:ascii="Calibri" w:hAnsi="Calibri" w:cs="Calibri"/>
        </w:rPr>
        <w:t>2. Типовые контракты, типовые условия контрактов для закупки товаров, работ, услуг разрабатываются федеральными органами исполнительной власти и Государственной корпорацией по атомной энергии "Росатом" (далее - ответственные органы), осуществляющими нормативно-правовое регулирование в соответствующей сфере деятельности, и утверждаются нормативными правовыми актами ответственных органов.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Типовые условия контракта разрабатываются в отношении отдельных условий гражданско-правового договора, предметом которого являются поставка товара, выполнение </w:t>
      </w:r>
      <w:r>
        <w:rPr>
          <w:rFonts w:ascii="Calibri" w:hAnsi="Calibri" w:cs="Calibri"/>
        </w:rPr>
        <w:lastRenderedPageBreak/>
        <w:t xml:space="preserve">работы, оказание услуги (в том числе приобретение недвижимого имущества или аренда имущества), заключаемого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</w:t>
      </w:r>
      <w:proofErr w:type="gramEnd"/>
      <w:r>
        <w:rPr>
          <w:rFonts w:ascii="Calibri" w:hAnsi="Calibri" w:cs="Calibri"/>
        </w:rPr>
        <w:t>, услуг для обеспечения государственных и муниципальных нужд".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Подготовка нормативных правовых актов, утверждающих типовые контракты, типовые условия контрактов, осуществляется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  <w:proofErr w:type="gramEnd"/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Проекты нормативных правовых актов, утверждающих типовой контракт, типовые условия контракта, подлежат согласованию с Министерством экономического развития Российской Федерации, Министерством финансов Российской Федерации, Федеральной антимонопольной службой, а в случае, если разрабатываемые типовые контракты, типовые условия контрактов могут применяться при закупках товаров, работ, услуг для обеспечения федеральных нужд, которые относятся к государственному оборонному заказу, - федеральным органом исполнительной власти, осуществляющим функции по контролю</w:t>
      </w:r>
      <w:proofErr w:type="gramEnd"/>
      <w:r>
        <w:rPr>
          <w:rFonts w:ascii="Calibri" w:hAnsi="Calibri" w:cs="Calibri"/>
        </w:rPr>
        <w:t xml:space="preserve"> (надзору) в сфере государственного оборонного заказа.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Разрабатываемые проекты типовых контрактов, типовых условий контрактов состоят из следующих частей: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постоянная часть, не подлежащая изменению при их применении в конкретной закупке;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переменная часть, предусматривающая возможность выбора одного или нескольких вариантов условий (данных) из предлагаемого исчерпывающего перечня таких вариантов условий (данных), определенных ответственным органом в типовом контракте, типовых условиях контрактов, а также возможность внесения информации об условиях (данных) конкретной закупки, содержании таких условий (данных) и порядке определения такого содержания.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w:anchor="Par76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нормативному правовому акту, утверждающему типовой контракт, типовые условия контракта, является информационная карта типового контракта, типовых условий контракта, которая оформляется по форме согласно приложению и является неотъемлемой частью такого нормативного правового акта (далее - информационная карта).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Типовые контракты, типовые условия контрактов не содержат сведений, составляющих государственную тайну.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 течение 10 рабочих дней со дня государственной регистрации нормативного правового акта, утверждающего типовой контракт, типовые условия контракта, ответственный орган направляет копию такого акта с </w:t>
      </w:r>
      <w:hyperlink w:anchor="Par76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информационной карты в Министерство экономического развития Российской Федерации.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3"/>
      <w:bookmarkEnd w:id="5"/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Министерство экономического развития Российской Федерации в течение 3 рабочих дней со дня получения копии нормативного правового акта, утверждающего типовой контракт, типовые условия контракта, включает такой типовой контракт, такие типовые условия контракта в библиотеку типовых контрактов, типовых условий контрактов, размещенную в единой информационной системе в сфере закупок.</w:t>
      </w:r>
      <w:proofErr w:type="gramEnd"/>
      <w:r>
        <w:rPr>
          <w:rFonts w:ascii="Calibri" w:hAnsi="Calibri" w:cs="Calibri"/>
        </w:rPr>
        <w:t xml:space="preserve"> При этом в библиотеке типовых контрактов, типовых условий контрактов также указываются реквизиты нормативного правового акта, утверждающего типовой контракт, типовые условия контракта, а также содержащиеся в информационной карте показатели для применения типового контракта, типовых условий контракта.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Изменения в утвержденные типовые контракты, типовые условия контрактов вносятся посредством принятия нормативного правового акта в порядке, установленном для разработки, утверждения и размещения в единой информационной системе в сфере закупок типовых контрактов, типовых условий контрактов в соответствии с </w:t>
      </w:r>
      <w:hyperlink w:anchor="Par32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- </w:t>
      </w:r>
      <w:hyperlink w:anchor="Par43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настоящих Правил.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Типовой контракт может содержать приложения, которые являются его неотъемлемой частью.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14. Утвержденные типовые контракты, типовые условия контрактов подлежат применению с учетом </w:t>
      </w:r>
      <w:hyperlink w:anchor="Par50" w:history="1">
        <w:r>
          <w:rPr>
            <w:rFonts w:ascii="Calibri" w:hAnsi="Calibri" w:cs="Calibri"/>
            <w:color w:val="0000FF"/>
          </w:rPr>
          <w:t>пунктов 15</w:t>
        </w:r>
      </w:hyperlink>
      <w:r>
        <w:rPr>
          <w:rFonts w:ascii="Calibri" w:hAnsi="Calibri" w:cs="Calibri"/>
        </w:rPr>
        <w:t xml:space="preserve"> - </w:t>
      </w:r>
      <w:hyperlink w:anchor="Par59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настоящих Правил, за исключением закупок, указанных в </w:t>
      </w:r>
      <w:hyperlink w:anchor="Par61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 xml:space="preserve"> настоящих Правил, в следующих случаях: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подготовка извещений об осуществлении закупок, а также приглашений принять участие в определении поставщика (подрядчика, исполнителя) закрытым способом;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подготовка проектов контрактов, являющихся неотъемлемой частью документации о закупке, извещений о проведении запроса котировок;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заключение контракта с единственным поставщиком (подрядчиком, исполнителем).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0"/>
      <w:bookmarkEnd w:id="6"/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Типовые контракты, типовые условия контрактов подлежат применению в случаях, если извещения об осуществлении закупок размещены в единой информационной системе в сфере закупок (приглашения принять участие в определении поставщика (подрядчика, исполнителя) закрытым способом направлены) или если контракт с единственным поставщиком (подрядчиком, исполнителем) в случаях, не предусматривающих размещения в единой информационной системе извещения о закупке у единственного поставщика (подрядчика, исполнителя), заключается по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истечении 30 календарных дней после дня размещения типового контракта, типовых условий контракта в единой информационной системе в сфере закупок, но не ранее дня вступления в силу нормативного правового акта ответственного органа, утверждающего типовой контракт, типовые условия контракта.</w:t>
      </w:r>
      <w:proofErr w:type="gramEnd"/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1"/>
      <w:bookmarkEnd w:id="7"/>
      <w:r>
        <w:rPr>
          <w:rFonts w:ascii="Calibri" w:hAnsi="Calibri" w:cs="Calibri"/>
        </w:rPr>
        <w:t>16.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4E77C9" w:rsidRDefault="004E77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"а" пункта 16 Правил в части каталога товаров, работ, услуг для обеспечения государственных и муниципальных ну</w:t>
      </w:r>
      <w:proofErr w:type="gramStart"/>
      <w:r>
        <w:rPr>
          <w:rFonts w:ascii="Calibri" w:hAnsi="Calibri" w:cs="Calibri"/>
        </w:rPr>
        <w:t>жд вст</w:t>
      </w:r>
      <w:proofErr w:type="gramEnd"/>
      <w:r>
        <w:rPr>
          <w:rFonts w:ascii="Calibri" w:hAnsi="Calibri" w:cs="Calibri"/>
        </w:rPr>
        <w:t>упает в силу с 1 января 2017 года (</w:t>
      </w:r>
      <w:hyperlink w:anchor="Par13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4E77C9" w:rsidRDefault="004E77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6"/>
      <w:bookmarkEnd w:id="8"/>
      <w:r>
        <w:rPr>
          <w:rFonts w:ascii="Calibri" w:hAnsi="Calibri" w:cs="Calibri"/>
        </w:rPr>
        <w:t xml:space="preserve">а) коды закупаемых товаров, работ, услуг по Общероссийскому классификатору продукции по видам экономической деятельности </w:t>
      </w:r>
      <w:hyperlink r:id="rId10" w:history="1">
        <w:r>
          <w:rPr>
            <w:rFonts w:ascii="Calibri" w:hAnsi="Calibri" w:cs="Calibri"/>
            <w:color w:val="0000FF"/>
          </w:rPr>
          <w:t>(ОКПД)</w:t>
        </w:r>
      </w:hyperlink>
      <w:r>
        <w:rPr>
          <w:rFonts w:ascii="Calibri" w:hAnsi="Calibri" w:cs="Calibri"/>
        </w:rPr>
        <w:t xml:space="preserve">, Общероссийскому классификатору видов экономической деятельности </w:t>
      </w:r>
      <w:hyperlink r:id="rId11" w:history="1">
        <w:r>
          <w:rPr>
            <w:rFonts w:ascii="Calibri" w:hAnsi="Calibri" w:cs="Calibri"/>
            <w:color w:val="0000FF"/>
          </w:rPr>
          <w:t>(ОКВЭД)</w:t>
        </w:r>
      </w:hyperlink>
      <w:r>
        <w:rPr>
          <w:rFonts w:ascii="Calibri" w:hAnsi="Calibri" w:cs="Calibri"/>
        </w:rPr>
        <w:t>, а также по каталогу товаров, работ, услуг для обеспечения государственных и муниципальных нужд;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9"/>
      <w:bookmarkEnd w:id="9"/>
      <w:r>
        <w:rPr>
          <w:rFonts w:ascii="Calibri" w:hAnsi="Calibri" w:cs="Calibri"/>
        </w:rPr>
        <w:t xml:space="preserve">17. Типовые условия контрактов подлежат применению с учетом </w:t>
      </w:r>
      <w:hyperlink w:anchor="Par50" w:history="1">
        <w:r>
          <w:rPr>
            <w:rFonts w:ascii="Calibri" w:hAnsi="Calibri" w:cs="Calibri"/>
            <w:color w:val="0000FF"/>
          </w:rPr>
          <w:t>пунктов 15</w:t>
        </w:r>
      </w:hyperlink>
      <w:r>
        <w:rPr>
          <w:rFonts w:ascii="Calibri" w:hAnsi="Calibri" w:cs="Calibri"/>
        </w:rPr>
        <w:t xml:space="preserve"> и </w:t>
      </w:r>
      <w:hyperlink w:anchor="Par51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настоящих Правил при отсутствии типовых контрактов, предназначенных для закупки соответствующих товаров, работ, услуг.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ответственными органами типовых контрактов осуществляется с учетом утвержденных типовых условий контракта (при их наличии). В случае утверждения нормативным правовым актом типового контракта, включающего условия, противоречащие утвержденным типовым условиям, такой правовой акт должен быть согласован с ответственным органом, утвердившим типовые условия, а также должен содержать положения о неприменении типовых условий к предмету утверждаемого типового контракта. Ответственный орган, утвердивший типовые условия, отменяет их в отношении предмета утвержденного типового контракта не позднее 30 календарных дней со дня принятия нормативного правового акта, утверждающего указанный типовой контракт.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1"/>
      <w:bookmarkEnd w:id="10"/>
      <w:r>
        <w:rPr>
          <w:rFonts w:ascii="Calibri" w:hAnsi="Calibri" w:cs="Calibri"/>
        </w:rPr>
        <w:t>18. Типовые контракты, типовые условия контрактов могут не применяться при осуществлении: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закупок за наличный расчет, если иное не предусмотрено показателями для применения типового контракта, типовых условий контракта, указанными в информационной карте;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закупок, предусмотренных </w:t>
      </w:r>
      <w:hyperlink r:id="rId12" w:history="1">
        <w:r>
          <w:rPr>
            <w:rFonts w:ascii="Calibri" w:hAnsi="Calibri" w:cs="Calibri"/>
            <w:color w:val="0000FF"/>
          </w:rPr>
          <w:t>статьями 75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76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10 части 2 статьи 83</w:t>
        </w:r>
      </w:hyperlink>
      <w:r>
        <w:rPr>
          <w:rFonts w:ascii="Calibri" w:hAnsi="Calibri" w:cs="Calibri"/>
        </w:rPr>
        <w:t xml:space="preserve">, а также </w:t>
      </w:r>
      <w:hyperlink r:id="rId18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(если в правовых актах Президента Российской Федерации или Правительства </w:t>
      </w:r>
      <w:r>
        <w:rPr>
          <w:rFonts w:ascii="Calibri" w:hAnsi="Calibri" w:cs="Calibri"/>
        </w:rPr>
        <w:lastRenderedPageBreak/>
        <w:t xml:space="preserve">Российской Федерации указана возможность заключения контракта без использования типового контракта, типовых условий контракта), </w:t>
      </w:r>
      <w:hyperlink r:id="rId1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hyperlink r:id="rId23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, </w:t>
      </w:r>
      <w:hyperlink r:id="rId24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33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34 части 1 статьи 93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если необходимость применения типового контракта, типовых условий контракта не предусмотрена в указанных случаях информационной картой.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69"/>
      <w:bookmarkEnd w:id="11"/>
      <w:r>
        <w:rPr>
          <w:rFonts w:ascii="Calibri" w:hAnsi="Calibri" w:cs="Calibri"/>
        </w:rPr>
        <w:t>Приложение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разработки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типовых контрактов, типовых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условий контрактов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76"/>
      <w:bookmarkEnd w:id="12"/>
      <w:r>
        <w:rPr>
          <w:rFonts w:ascii="Calibri" w:hAnsi="Calibri" w:cs="Calibri"/>
        </w:rPr>
        <w:t>ИНФОРМАЦИОННАЯ КАРТА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типового контракта, типовых условий контракта</w:t>
      </w: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E77C9" w:rsidSect="00F63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145"/>
      </w:tblGrid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сведения о нормативном правовом акте, которым утвержден типовой контракт, типовые условия контракта:</w:t>
            </w:r>
          </w:p>
        </w:tc>
      </w:tr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а)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орган - разработчик документа (федеральный орган исполнительной власти, Государственная корпорация по атомной энергии "Росатом", которые разрабатывают и утверждают типовые контракты, типовые условия контрактов);</w:t>
            </w:r>
          </w:p>
        </w:tc>
      </w:tr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б)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 (типовой контракт или типовые условия контракта).</w:t>
            </w:r>
          </w:p>
        </w:tc>
      </w:tr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 для применения типового контракта, типовых условий контракта:</w:t>
            </w:r>
          </w:p>
        </w:tc>
      </w:tr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а)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товара, работы, услуги;</w:t>
            </w:r>
          </w:p>
        </w:tc>
      </w:tr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б)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(коды) предмета контракта:</w:t>
            </w:r>
          </w:p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общероссийскому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продукции по видам экономической деятельности (ОКПД);</w:t>
            </w:r>
          </w:p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общероссийскому классификатору видов экономической деятельности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(ОКВЭД)</w:t>
              </w:r>
            </w:hyperlink>
            <w:r>
              <w:rPr>
                <w:rFonts w:ascii="Calibri" w:hAnsi="Calibri" w:cs="Calibri"/>
              </w:rPr>
              <w:t>;</w:t>
            </w:r>
          </w:p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каталогу товаров, работ, услуг для обеспечения государственных и муниципальных нужд (указывается с 1 января 2017 г.);</w:t>
            </w:r>
          </w:p>
        </w:tc>
      </w:tr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в)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начальной (максимальной) цены контракта, цены контракта, заключаемого с единственным поставщиком (подрядчиком, исполнителем), при котором применяется типовой контракт (типовые условия контракта);</w:t>
            </w:r>
          </w:p>
        </w:tc>
      </w:tr>
      <w:tr w:rsidR="004E77C9">
        <w:tc>
          <w:tcPr>
            <w:tcW w:w="4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г)</w:t>
            </w:r>
          </w:p>
        </w:tc>
        <w:tc>
          <w:tcPr>
            <w:tcW w:w="914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E77C9" w:rsidRDefault="004E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показатели для применения типового контракта, типовых условий контракта.</w:t>
            </w:r>
          </w:p>
        </w:tc>
      </w:tr>
    </w:tbl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77C9" w:rsidRDefault="004E77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06415" w:rsidRDefault="00F06415">
      <w:bookmarkStart w:id="13" w:name="_GoBack"/>
      <w:bookmarkEnd w:id="13"/>
    </w:p>
    <w:sectPr w:rsidR="00F0641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C9"/>
    <w:rsid w:val="004E77C9"/>
    <w:rsid w:val="00F0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8FD89E597C5D6DFEF354BB24CAAB246B41D9C24B07FE9CC4A17946CECq5H" TargetMode="External"/><Relationship Id="rId13" Type="http://schemas.openxmlformats.org/officeDocument/2006/relationships/hyperlink" Target="consultantplus://offline/ref=19B8FD89E597C5D6DFEF354BB24CAAB246B41D9C24B07FE9CC4A17946CC50E9EDEFD77B091C884AEE5q4H" TargetMode="External"/><Relationship Id="rId18" Type="http://schemas.openxmlformats.org/officeDocument/2006/relationships/hyperlink" Target="consultantplus://offline/ref=19B8FD89E597C5D6DFEF354BB24CAAB246B41D9C24B07FE9CC4A17946CC50E9EDEFD77B091C883A8E5qCH" TargetMode="External"/><Relationship Id="rId26" Type="http://schemas.openxmlformats.org/officeDocument/2006/relationships/hyperlink" Target="consultantplus://offline/ref=19B8FD89E597C5D6DFEF354BB24CAAB246B41D9C24B07FE9CC4A17946CC50E9EDEFD77B091C883A7E5q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B8FD89E597C5D6DFEF354BB24CAAB246B41D9C24B07FE9CC4A17946CC50E9EDEFD77B091C883A7E5q5H" TargetMode="External"/><Relationship Id="rId7" Type="http://schemas.openxmlformats.org/officeDocument/2006/relationships/hyperlink" Target="consultantplus://offline/ref=19B8FD89E597C5D6DFEF354BB24CAAB246B41D9C24B07FE9CC4A17946CC50E9EDEFD77B091C980AEE5q5H" TargetMode="External"/><Relationship Id="rId12" Type="http://schemas.openxmlformats.org/officeDocument/2006/relationships/hyperlink" Target="consultantplus://offline/ref=19B8FD89E597C5D6DFEF354BB24CAAB246B41D9C24B07FE9CC4A17946CC50E9EDEFD77B091C88DADE5q5H" TargetMode="External"/><Relationship Id="rId17" Type="http://schemas.openxmlformats.org/officeDocument/2006/relationships/hyperlink" Target="consultantplus://offline/ref=19B8FD89E597C5D6DFEF354BB24CAAB246B41D9C24B07FE9CC4A17946CC50E9EDEFD77B091C883A9E5q3H" TargetMode="External"/><Relationship Id="rId25" Type="http://schemas.openxmlformats.org/officeDocument/2006/relationships/hyperlink" Target="consultantplus://offline/ref=19B8FD89E597C5D6DFEF354BB24CAAB246B41D9C24B07FE9CC4A17946CC50E9EDEFD77B091C886A7E5q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B8FD89E597C5D6DFEF354BB24CAAB246B41D9C24B07FE9CC4A17946CC50E9EDEFD77B091C88DABE5q4H" TargetMode="External"/><Relationship Id="rId20" Type="http://schemas.openxmlformats.org/officeDocument/2006/relationships/hyperlink" Target="consultantplus://offline/ref=19B8FD89E597C5D6DFEF354BB24CAAB246B41D9C24B07FE9CC4A17946CC50E9EDEFD77B091C88DAAE5qCH" TargetMode="External"/><Relationship Id="rId29" Type="http://schemas.openxmlformats.org/officeDocument/2006/relationships/hyperlink" Target="consultantplus://offline/ref=19B8FD89E597C5D6DFEF354BB24CAAB246B41D9620B87FE9CC4A17946CECq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B8FD89E597C5D6DFEF354BB24CAAB246B41D9C24B07FE9CC4A17946CC50E9EDEFD77B091C980AEE5q5H" TargetMode="External"/><Relationship Id="rId11" Type="http://schemas.openxmlformats.org/officeDocument/2006/relationships/hyperlink" Target="consultantplus://offline/ref=19B8FD89E597C5D6DFEF354BB24CAAB246B41D9620B87FE9CC4A17946CECq5H" TargetMode="External"/><Relationship Id="rId24" Type="http://schemas.openxmlformats.org/officeDocument/2006/relationships/hyperlink" Target="consultantplus://offline/ref=19B8FD89E597C5D6DFEF354BB24CAAB246B41D9C24B07FE9CC4A17946CC50E9EDEFD77B091C886A7E5q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B8FD89E597C5D6DFEF354BB24CAAB246B41D9C24B07FE9CC4A17946CC50E9EDEFD77B091C884A6E5q7H" TargetMode="External"/><Relationship Id="rId23" Type="http://schemas.openxmlformats.org/officeDocument/2006/relationships/hyperlink" Target="consultantplus://offline/ref=19B8FD89E597C5D6DFEF354BB24CAAB246B41D9C24B07FE9CC4A17946CC50E9EDEFD77B091C886A8E5q0H" TargetMode="External"/><Relationship Id="rId28" Type="http://schemas.openxmlformats.org/officeDocument/2006/relationships/hyperlink" Target="consultantplus://offline/ref=19B8FD89E597C5D6DFEF354BB24CAAB246B61D9426B17FE9CC4A17946CECq5H" TargetMode="External"/><Relationship Id="rId10" Type="http://schemas.openxmlformats.org/officeDocument/2006/relationships/hyperlink" Target="consultantplus://offline/ref=19B8FD89E597C5D6DFEF354BB24CAAB246B61D9426B17FE9CC4A17946CECq5H" TargetMode="External"/><Relationship Id="rId19" Type="http://schemas.openxmlformats.org/officeDocument/2006/relationships/hyperlink" Target="consultantplus://offline/ref=19B8FD89E597C5D6DFEF354BB24CAAB246B41D9C24B07FE9CC4A17946CC50E9EDEFD77B091C88DAAE5q3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B8FD89E597C5D6DFEF354BB24CAAB246B7179720BD7FE9CC4A17946CC50E9EDEFD77B091C984ADE5qCH" TargetMode="External"/><Relationship Id="rId14" Type="http://schemas.openxmlformats.org/officeDocument/2006/relationships/hyperlink" Target="consultantplus://offline/ref=19B8FD89E597C5D6DFEF354BB24CAAB246B41D9C24B07FE9CC4A17946CC50E9EDEFD77B091C884A6E5q6H" TargetMode="External"/><Relationship Id="rId22" Type="http://schemas.openxmlformats.org/officeDocument/2006/relationships/hyperlink" Target="consultantplus://offline/ref=19B8FD89E597C5D6DFEF354BB24CAAB246B41D9C24B07FE9CC4A17946CC50E9EDEFD77B091C886A8E5q6H" TargetMode="External"/><Relationship Id="rId27" Type="http://schemas.openxmlformats.org/officeDocument/2006/relationships/hyperlink" Target="consultantplus://offline/ref=19B8FD89E597C5D6DFEF354BB24CAAB246B41D9C24B07FE9CC4A17946CC50E9EDEFD77B091C883A7E5qD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2014-07-21T07:42:00Z</dcterms:created>
  <dcterms:modified xsi:type="dcterms:W3CDTF">2014-07-21T07:42:00Z</dcterms:modified>
</cp:coreProperties>
</file>