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C7" w:rsidRPr="0025549C" w:rsidRDefault="00A576C7" w:rsidP="00A576C7">
      <w:pPr>
        <w:jc w:val="center"/>
        <w:rPr>
          <w:sz w:val="10"/>
          <w:szCs w:val="10"/>
        </w:rPr>
      </w:pPr>
    </w:p>
    <w:p w:rsidR="00A576C7" w:rsidRDefault="00A576C7" w:rsidP="00A576C7">
      <w:pPr>
        <w:jc w:val="center"/>
        <w:rPr>
          <w:b/>
        </w:rPr>
      </w:pPr>
      <w:r w:rsidRPr="0025549C">
        <w:rPr>
          <w:b/>
        </w:rPr>
        <w:t>КОНТРОЛЬНО-СЧЕТНАЯ ПАЛАТА МУНИЦИПАЛЬНОГО ОБРАЗОВАНИЯ</w:t>
      </w:r>
    </w:p>
    <w:p w:rsidR="00A576C7" w:rsidRPr="0025549C" w:rsidRDefault="00A576C7" w:rsidP="00A576C7">
      <w:pPr>
        <w:jc w:val="center"/>
        <w:rPr>
          <w:b/>
        </w:rPr>
      </w:pPr>
      <w:r w:rsidRPr="0025549C">
        <w:rPr>
          <w:b/>
        </w:rPr>
        <w:t>«ГОРОД АРХАНГЕЛЬСК»</w:t>
      </w:r>
    </w:p>
    <w:p w:rsidR="009E2E17" w:rsidRPr="00566CD4" w:rsidRDefault="009E2E17" w:rsidP="00801FAB">
      <w:pPr>
        <w:jc w:val="center"/>
        <w:rPr>
          <w:b/>
          <w:sz w:val="25"/>
          <w:szCs w:val="25"/>
        </w:rPr>
      </w:pPr>
    </w:p>
    <w:p w:rsidR="008840F7" w:rsidRPr="00566CD4" w:rsidRDefault="008840F7" w:rsidP="008840F7">
      <w:pPr>
        <w:jc w:val="center"/>
        <w:rPr>
          <w:b/>
          <w:sz w:val="25"/>
          <w:szCs w:val="25"/>
        </w:rPr>
      </w:pPr>
      <w:bookmarkStart w:id="0" w:name="_Toc371402980"/>
      <w:r w:rsidRPr="00566CD4">
        <w:rPr>
          <w:b/>
          <w:sz w:val="25"/>
          <w:szCs w:val="25"/>
        </w:rPr>
        <w:t>Заключение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на проект решения Архангельской городской Думы 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 xml:space="preserve"> «О городском бюджете на 201</w:t>
      </w:r>
      <w:r w:rsidR="003E0ABD">
        <w:rPr>
          <w:b/>
          <w:sz w:val="25"/>
          <w:szCs w:val="25"/>
        </w:rPr>
        <w:t>8</w:t>
      </w:r>
      <w:r w:rsidRPr="00566CD4">
        <w:rPr>
          <w:b/>
          <w:sz w:val="25"/>
          <w:szCs w:val="25"/>
        </w:rPr>
        <w:t xml:space="preserve"> год и на плановый период 201</w:t>
      </w:r>
      <w:r w:rsidR="003E0ABD">
        <w:rPr>
          <w:b/>
          <w:sz w:val="25"/>
          <w:szCs w:val="25"/>
        </w:rPr>
        <w:t>9</w:t>
      </w:r>
      <w:r w:rsidRPr="00566CD4">
        <w:rPr>
          <w:b/>
          <w:sz w:val="25"/>
          <w:szCs w:val="25"/>
        </w:rPr>
        <w:t xml:space="preserve"> и 20</w:t>
      </w:r>
      <w:r w:rsidR="003E0ABD">
        <w:rPr>
          <w:b/>
          <w:sz w:val="25"/>
          <w:szCs w:val="25"/>
        </w:rPr>
        <w:t>20</w:t>
      </w:r>
      <w:r w:rsidRPr="00566CD4">
        <w:rPr>
          <w:b/>
          <w:sz w:val="25"/>
          <w:szCs w:val="25"/>
        </w:rPr>
        <w:t xml:space="preserve"> годов»</w:t>
      </w:r>
    </w:p>
    <w:p w:rsidR="008840F7" w:rsidRPr="00566CD4" w:rsidRDefault="008840F7" w:rsidP="008840F7">
      <w:pPr>
        <w:ind w:right="-39"/>
        <w:jc w:val="center"/>
        <w:rPr>
          <w:b/>
          <w:sz w:val="25"/>
          <w:szCs w:val="25"/>
        </w:rPr>
      </w:pPr>
    </w:p>
    <w:p w:rsidR="008840F7" w:rsidRPr="00566CD4" w:rsidRDefault="008840F7" w:rsidP="008840F7">
      <w:pPr>
        <w:ind w:left="120" w:right="-31"/>
        <w:jc w:val="right"/>
        <w:rPr>
          <w:sz w:val="25"/>
          <w:szCs w:val="25"/>
        </w:rPr>
      </w:pPr>
      <w:r w:rsidRPr="00566CD4">
        <w:rPr>
          <w:sz w:val="25"/>
          <w:szCs w:val="25"/>
        </w:rPr>
        <w:t>2</w:t>
      </w:r>
      <w:r w:rsidR="003E0ABD">
        <w:rPr>
          <w:sz w:val="25"/>
          <w:szCs w:val="25"/>
        </w:rPr>
        <w:t>0</w:t>
      </w:r>
      <w:r w:rsidRPr="00566CD4">
        <w:rPr>
          <w:sz w:val="25"/>
          <w:szCs w:val="25"/>
        </w:rPr>
        <w:t xml:space="preserve"> ноября 201</w:t>
      </w:r>
      <w:r w:rsidR="003E0ABD">
        <w:rPr>
          <w:sz w:val="25"/>
          <w:szCs w:val="25"/>
        </w:rPr>
        <w:t>7</w:t>
      </w:r>
      <w:r w:rsidRPr="00566CD4">
        <w:rPr>
          <w:sz w:val="25"/>
          <w:szCs w:val="25"/>
        </w:rPr>
        <w:t xml:space="preserve"> года</w:t>
      </w:r>
    </w:p>
    <w:p w:rsidR="008840F7" w:rsidRPr="00566CD4" w:rsidRDefault="008840F7" w:rsidP="008840F7">
      <w:pPr>
        <w:ind w:left="120" w:right="37"/>
        <w:jc w:val="both"/>
        <w:rPr>
          <w:sz w:val="25"/>
          <w:szCs w:val="25"/>
        </w:rPr>
      </w:pPr>
    </w:p>
    <w:p w:rsidR="008840F7" w:rsidRPr="00566CD4" w:rsidRDefault="008840F7" w:rsidP="008840F7">
      <w:pPr>
        <w:ind w:firstLine="567"/>
        <w:jc w:val="both"/>
        <w:rPr>
          <w:sz w:val="25"/>
          <w:szCs w:val="25"/>
        </w:rPr>
      </w:pPr>
      <w:proofErr w:type="gramStart"/>
      <w:r w:rsidRPr="00566CD4">
        <w:rPr>
          <w:sz w:val="25"/>
          <w:szCs w:val="25"/>
        </w:rPr>
        <w:t xml:space="preserve">Контрольно-счетной палатой муниципального образования «Город Архангельск» в соответствии с п.2 ч.2 ст.9 </w:t>
      </w:r>
      <w:r w:rsidRPr="00566CD4">
        <w:rPr>
          <w:rFonts w:eastAsiaTheme="minorHAnsi"/>
          <w:sz w:val="25"/>
          <w:szCs w:val="25"/>
          <w:lang w:eastAsia="en-US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п.2 ст.157 Бюджетного кодекса РФ, </w:t>
      </w:r>
      <w:r w:rsidRPr="00566CD4">
        <w:rPr>
          <w:sz w:val="25"/>
          <w:szCs w:val="25"/>
        </w:rPr>
        <w:t>п.2 ч.1 ст.8 Положения о контрольно-счетной палате муниципального образования «Город Архангельск», утвержденного решением Архангельской городской Думы</w:t>
      </w:r>
      <w:proofErr w:type="gramEnd"/>
      <w:r w:rsidRPr="00566CD4">
        <w:rPr>
          <w:sz w:val="25"/>
          <w:szCs w:val="25"/>
        </w:rPr>
        <w:t xml:space="preserve"> </w:t>
      </w:r>
      <w:proofErr w:type="gramStart"/>
      <w:r w:rsidRPr="00566CD4">
        <w:rPr>
          <w:sz w:val="25"/>
          <w:szCs w:val="25"/>
        </w:rPr>
        <w:t>от 25.04.2012 №420, Планом деятельности контрольно-счетной палаты муниципального образования «Город Архангельск» на 201</w:t>
      </w:r>
      <w:r w:rsidR="00681939">
        <w:rPr>
          <w:sz w:val="25"/>
          <w:szCs w:val="25"/>
        </w:rPr>
        <w:t>7</w:t>
      </w:r>
      <w:r w:rsidRPr="00566CD4">
        <w:rPr>
          <w:sz w:val="25"/>
          <w:szCs w:val="25"/>
        </w:rPr>
        <w:t xml:space="preserve"> год, утвержденным распоряжением контрольно-счетной палаты муниципального образования «Город Архангельск» от </w:t>
      </w:r>
      <w:r w:rsidR="00681939" w:rsidRPr="00681939">
        <w:rPr>
          <w:sz w:val="25"/>
          <w:szCs w:val="25"/>
        </w:rPr>
        <w:t>22.12.2016 № 53р</w:t>
      </w:r>
      <w:r w:rsidRPr="00566CD4">
        <w:rPr>
          <w:sz w:val="25"/>
          <w:szCs w:val="25"/>
        </w:rPr>
        <w:t xml:space="preserve">, </w:t>
      </w:r>
      <w:r w:rsidRPr="00566CD4">
        <w:rPr>
          <w:rFonts w:eastAsiaTheme="minorHAnsi"/>
          <w:sz w:val="25"/>
          <w:szCs w:val="25"/>
          <w:lang w:eastAsia="en-US"/>
        </w:rPr>
        <w:t xml:space="preserve">подготовлено заключение </w:t>
      </w:r>
      <w:r w:rsidRPr="00566CD4">
        <w:rPr>
          <w:sz w:val="25"/>
          <w:szCs w:val="25"/>
        </w:rPr>
        <w:t>на проект решения Архангельской городской Думы «О городском бюджете на 201</w:t>
      </w:r>
      <w:r w:rsidR="00492CAC">
        <w:rPr>
          <w:sz w:val="25"/>
          <w:szCs w:val="25"/>
        </w:rPr>
        <w:t>8</w:t>
      </w:r>
      <w:r w:rsidRPr="00566CD4">
        <w:rPr>
          <w:sz w:val="25"/>
          <w:szCs w:val="25"/>
        </w:rPr>
        <w:t xml:space="preserve"> год и на плановый период 201</w:t>
      </w:r>
      <w:r w:rsidR="00492CAC">
        <w:rPr>
          <w:sz w:val="25"/>
          <w:szCs w:val="25"/>
        </w:rPr>
        <w:t>9</w:t>
      </w:r>
      <w:r w:rsidRPr="00566CD4">
        <w:rPr>
          <w:sz w:val="25"/>
          <w:szCs w:val="25"/>
        </w:rPr>
        <w:t xml:space="preserve"> и 20</w:t>
      </w:r>
      <w:r w:rsidR="00492CAC">
        <w:rPr>
          <w:sz w:val="25"/>
          <w:szCs w:val="25"/>
        </w:rPr>
        <w:t>20</w:t>
      </w:r>
      <w:r w:rsidRPr="00566CD4">
        <w:rPr>
          <w:sz w:val="25"/>
          <w:szCs w:val="25"/>
        </w:rPr>
        <w:t xml:space="preserve"> годов» (далее – проект решения) на предмет соответствия проекта решения и представленных документов и материалов</w:t>
      </w:r>
      <w:proofErr w:type="gramEnd"/>
      <w:r w:rsidRPr="00566CD4">
        <w:rPr>
          <w:sz w:val="25"/>
          <w:szCs w:val="25"/>
        </w:rPr>
        <w:t xml:space="preserve"> требованиям:</w:t>
      </w:r>
    </w:p>
    <w:p w:rsidR="008840F7" w:rsidRPr="00566CD4" w:rsidRDefault="00D054FC" w:rsidP="008840F7">
      <w:pPr>
        <w:ind w:firstLine="567"/>
        <w:jc w:val="both"/>
        <w:rPr>
          <w:sz w:val="25"/>
          <w:szCs w:val="25"/>
        </w:rPr>
      </w:pPr>
      <w:r w:rsidRPr="00566CD4">
        <w:rPr>
          <w:sz w:val="25"/>
          <w:szCs w:val="25"/>
        </w:rPr>
        <w:t>-</w:t>
      </w:r>
      <w:r w:rsidR="00584944" w:rsidRPr="00566CD4">
        <w:rPr>
          <w:sz w:val="25"/>
          <w:szCs w:val="25"/>
        </w:rPr>
        <w:t xml:space="preserve"> </w:t>
      </w:r>
      <w:r w:rsidR="008840F7" w:rsidRPr="00566CD4">
        <w:rPr>
          <w:sz w:val="25"/>
          <w:szCs w:val="25"/>
        </w:rPr>
        <w:t>Бюджетного кодекса Российской Федерации (далее – БК РФ);</w:t>
      </w:r>
    </w:p>
    <w:p w:rsidR="008840F7" w:rsidRPr="00566CD4" w:rsidRDefault="00584944" w:rsidP="008840F7">
      <w:pPr>
        <w:ind w:firstLine="567"/>
        <w:jc w:val="both"/>
        <w:rPr>
          <w:sz w:val="25"/>
          <w:szCs w:val="25"/>
        </w:rPr>
      </w:pPr>
      <w:r w:rsidRPr="00566CD4">
        <w:rPr>
          <w:sz w:val="25"/>
          <w:szCs w:val="25"/>
        </w:rPr>
        <w:t xml:space="preserve">- </w:t>
      </w:r>
      <w:r w:rsidR="008840F7" w:rsidRPr="00566CD4">
        <w:rPr>
          <w:sz w:val="25"/>
          <w:szCs w:val="25"/>
        </w:rPr>
        <w:t>Положения о бюджетном процессе в муниципальном образовании «Город Архангельск», утвержденного решением Архангельского городского Совета депутатов от 17.12.2008 №807 (далее - Положение о бюджетном процессе);</w:t>
      </w:r>
    </w:p>
    <w:p w:rsidR="008840F7" w:rsidRPr="00566CD4" w:rsidRDefault="00F64C37" w:rsidP="008840F7">
      <w:pPr>
        <w:ind w:firstLine="567"/>
        <w:jc w:val="both"/>
        <w:rPr>
          <w:sz w:val="25"/>
          <w:szCs w:val="25"/>
        </w:rPr>
      </w:pPr>
      <w:r w:rsidRPr="00566CD4">
        <w:rPr>
          <w:sz w:val="25"/>
          <w:szCs w:val="25"/>
        </w:rPr>
        <w:t>-</w:t>
      </w:r>
      <w:r w:rsidR="00584944" w:rsidRPr="00566CD4">
        <w:rPr>
          <w:sz w:val="25"/>
          <w:szCs w:val="25"/>
        </w:rPr>
        <w:t xml:space="preserve"> </w:t>
      </w:r>
      <w:r w:rsidR="008840F7" w:rsidRPr="00566CD4">
        <w:rPr>
          <w:sz w:val="25"/>
          <w:szCs w:val="25"/>
        </w:rPr>
        <w:t>иных правовых актов.</w:t>
      </w:r>
    </w:p>
    <w:p w:rsidR="008840F7" w:rsidRPr="00566CD4" w:rsidRDefault="008840F7" w:rsidP="008840F7">
      <w:pPr>
        <w:ind w:firstLine="567"/>
        <w:jc w:val="both"/>
        <w:rPr>
          <w:sz w:val="25"/>
          <w:szCs w:val="25"/>
        </w:rPr>
      </w:pPr>
      <w:r w:rsidRPr="00566CD4">
        <w:rPr>
          <w:sz w:val="25"/>
          <w:szCs w:val="25"/>
        </w:rPr>
        <w:t>При подготовке заключения контрольно-счетная палата муниципального образования «Город Архангельск» (далее – контрольно-счетная палата) учитывала необходимость реализации положений основных направлений бюджетной и налоговой политики муниципального образования «Город Архангельск» на 201</w:t>
      </w:r>
      <w:r w:rsidR="00157865">
        <w:rPr>
          <w:sz w:val="25"/>
          <w:szCs w:val="25"/>
        </w:rPr>
        <w:t>8</w:t>
      </w:r>
      <w:r w:rsidRPr="00566CD4">
        <w:rPr>
          <w:sz w:val="25"/>
          <w:szCs w:val="25"/>
        </w:rPr>
        <w:t xml:space="preserve"> год и на плановый период 201</w:t>
      </w:r>
      <w:r w:rsidR="00157865">
        <w:rPr>
          <w:sz w:val="25"/>
          <w:szCs w:val="25"/>
        </w:rPr>
        <w:t>9</w:t>
      </w:r>
      <w:r w:rsidRPr="00566CD4">
        <w:rPr>
          <w:sz w:val="25"/>
          <w:szCs w:val="25"/>
        </w:rPr>
        <w:t xml:space="preserve"> и 20</w:t>
      </w:r>
      <w:r w:rsidR="00157865">
        <w:rPr>
          <w:sz w:val="25"/>
          <w:szCs w:val="25"/>
        </w:rPr>
        <w:t>20</w:t>
      </w:r>
      <w:r w:rsidRPr="00566CD4">
        <w:rPr>
          <w:sz w:val="25"/>
          <w:szCs w:val="25"/>
        </w:rPr>
        <w:t xml:space="preserve"> годов, показатели прогноза социально-экономического развития муниципального образования «Город Архангельск» на 201</w:t>
      </w:r>
      <w:r w:rsidR="00157865">
        <w:rPr>
          <w:sz w:val="25"/>
          <w:szCs w:val="25"/>
        </w:rPr>
        <w:t>8</w:t>
      </w:r>
      <w:r w:rsidRPr="00566CD4">
        <w:rPr>
          <w:sz w:val="25"/>
          <w:szCs w:val="25"/>
        </w:rPr>
        <w:t xml:space="preserve"> год и плановый период 201</w:t>
      </w:r>
      <w:r w:rsidR="00157865">
        <w:rPr>
          <w:sz w:val="25"/>
          <w:szCs w:val="25"/>
        </w:rPr>
        <w:t>9</w:t>
      </w:r>
      <w:r w:rsidRPr="00566CD4">
        <w:rPr>
          <w:sz w:val="25"/>
          <w:szCs w:val="25"/>
        </w:rPr>
        <w:t xml:space="preserve"> и 20</w:t>
      </w:r>
      <w:r w:rsidR="00157865">
        <w:rPr>
          <w:sz w:val="25"/>
          <w:szCs w:val="25"/>
        </w:rPr>
        <w:t>20</w:t>
      </w:r>
      <w:r w:rsidRPr="00566CD4">
        <w:rPr>
          <w:sz w:val="25"/>
          <w:szCs w:val="25"/>
        </w:rPr>
        <w:t xml:space="preserve"> годов, ожидаемое исполнение городского бюджета за 201</w:t>
      </w:r>
      <w:r w:rsidR="00157865">
        <w:rPr>
          <w:sz w:val="25"/>
          <w:szCs w:val="25"/>
        </w:rPr>
        <w:t>7</w:t>
      </w:r>
      <w:r w:rsidRPr="00566CD4">
        <w:rPr>
          <w:sz w:val="25"/>
          <w:szCs w:val="25"/>
        </w:rPr>
        <w:t xml:space="preserve"> год.</w:t>
      </w:r>
    </w:p>
    <w:p w:rsidR="008840F7" w:rsidRPr="00461670" w:rsidRDefault="008840F7" w:rsidP="008840F7">
      <w:pPr>
        <w:ind w:firstLine="567"/>
        <w:jc w:val="both"/>
        <w:rPr>
          <w:color w:val="17365D" w:themeColor="text2" w:themeShade="BF"/>
        </w:rPr>
      </w:pPr>
    </w:p>
    <w:p w:rsidR="008840F7" w:rsidRPr="00566CD4" w:rsidRDefault="008840F7" w:rsidP="008840F7">
      <w:pPr>
        <w:spacing w:before="120" w:after="120"/>
        <w:ind w:firstLine="567"/>
        <w:jc w:val="center"/>
        <w:rPr>
          <w:b/>
          <w:sz w:val="25"/>
          <w:szCs w:val="25"/>
        </w:rPr>
      </w:pPr>
      <w:r w:rsidRPr="00566CD4">
        <w:rPr>
          <w:b/>
          <w:sz w:val="25"/>
          <w:szCs w:val="25"/>
        </w:rPr>
        <w:t>1.Общие положения</w:t>
      </w:r>
    </w:p>
    <w:p w:rsidR="008840F7" w:rsidRPr="00566CD4" w:rsidRDefault="008840F7" w:rsidP="008840F7">
      <w:pPr>
        <w:tabs>
          <w:tab w:val="left" w:pos="0"/>
          <w:tab w:val="left" w:pos="1134"/>
        </w:tabs>
        <w:ind w:firstLine="567"/>
        <w:jc w:val="both"/>
        <w:rPr>
          <w:sz w:val="25"/>
          <w:szCs w:val="25"/>
        </w:rPr>
      </w:pPr>
      <w:r w:rsidRPr="00566CD4">
        <w:rPr>
          <w:b/>
          <w:sz w:val="25"/>
          <w:szCs w:val="25"/>
        </w:rPr>
        <w:t xml:space="preserve">1.1. </w:t>
      </w:r>
      <w:r w:rsidRPr="00566CD4">
        <w:rPr>
          <w:sz w:val="25"/>
          <w:szCs w:val="25"/>
        </w:rPr>
        <w:t xml:space="preserve">Проект решения внесен Администрацией муниципального образования «Город Архангельск» </w:t>
      </w:r>
      <w:r w:rsidR="006F7D7C">
        <w:rPr>
          <w:sz w:val="25"/>
          <w:szCs w:val="25"/>
        </w:rPr>
        <w:t xml:space="preserve">(далее – Администрация МО «Город Архангельск») </w:t>
      </w:r>
      <w:r w:rsidRPr="00566CD4">
        <w:rPr>
          <w:sz w:val="25"/>
          <w:szCs w:val="25"/>
        </w:rPr>
        <w:t>на рассмотрение Архангельской городской Думы в срок, установленный ст.185 БК РФ</w:t>
      </w:r>
      <w:r w:rsidR="002E6DB8">
        <w:rPr>
          <w:sz w:val="25"/>
          <w:szCs w:val="25"/>
        </w:rPr>
        <w:t>, п.4.1.1 Положения</w:t>
      </w:r>
      <w:r w:rsidR="002E6DB8" w:rsidRPr="002E6DB8">
        <w:rPr>
          <w:sz w:val="25"/>
          <w:szCs w:val="25"/>
        </w:rPr>
        <w:t xml:space="preserve"> о бюджетном процессе</w:t>
      </w:r>
      <w:r w:rsidR="002E6DB8">
        <w:rPr>
          <w:sz w:val="25"/>
          <w:szCs w:val="25"/>
        </w:rPr>
        <w:t>.</w:t>
      </w:r>
    </w:p>
    <w:p w:rsidR="008840F7" w:rsidRPr="00566CD4" w:rsidRDefault="008840F7" w:rsidP="008840F7">
      <w:pPr>
        <w:tabs>
          <w:tab w:val="left" w:pos="993"/>
        </w:tabs>
        <w:ind w:firstLine="567"/>
        <w:jc w:val="both"/>
        <w:rPr>
          <w:sz w:val="25"/>
          <w:szCs w:val="25"/>
        </w:rPr>
      </w:pPr>
      <w:r w:rsidRPr="00566CD4">
        <w:rPr>
          <w:b/>
          <w:sz w:val="25"/>
          <w:szCs w:val="25"/>
        </w:rPr>
        <w:t xml:space="preserve">1.2. </w:t>
      </w:r>
      <w:r w:rsidRPr="00566CD4">
        <w:rPr>
          <w:sz w:val="25"/>
          <w:szCs w:val="25"/>
        </w:rPr>
        <w:t xml:space="preserve">Перечень и содержание документов и материалов, представленных одновременно с проектом </w:t>
      </w:r>
      <w:r w:rsidRPr="001249AD">
        <w:rPr>
          <w:sz w:val="25"/>
          <w:szCs w:val="25"/>
        </w:rPr>
        <w:t>решения, в основном</w:t>
      </w:r>
      <w:r w:rsidRPr="00417697">
        <w:rPr>
          <w:sz w:val="25"/>
          <w:szCs w:val="25"/>
        </w:rPr>
        <w:t xml:space="preserve"> соответствуют ст.184.1, ст.184.2 БК РФ, п.4.1.2, п.4.1.3 Положения о бюджетном процессе.</w:t>
      </w:r>
    </w:p>
    <w:p w:rsidR="004163EC" w:rsidRPr="00850D6D" w:rsidRDefault="00850D6D" w:rsidP="008840F7">
      <w:pPr>
        <w:ind w:firstLine="567"/>
        <w:jc w:val="both"/>
        <w:rPr>
          <w:sz w:val="25"/>
          <w:szCs w:val="25"/>
        </w:rPr>
      </w:pPr>
      <w:r w:rsidRPr="00850D6D">
        <w:rPr>
          <w:sz w:val="25"/>
          <w:szCs w:val="25"/>
        </w:rPr>
        <w:t>Одновременно с проектом решения о бюджете в представительный орган может быть представлен проект бюджетного прогноза (проект изменений бюджетного прогноза) муниципального образования на долгосрочный период при наличии решения представительного органа о его формировании (п.п.1, 5 ст.170.1 БК РФ).</w:t>
      </w:r>
    </w:p>
    <w:p w:rsidR="008840F7" w:rsidRPr="00566CD4" w:rsidRDefault="008840F7" w:rsidP="008840F7">
      <w:pPr>
        <w:ind w:firstLine="567"/>
        <w:jc w:val="both"/>
        <w:rPr>
          <w:sz w:val="25"/>
          <w:szCs w:val="25"/>
        </w:rPr>
      </w:pPr>
      <w:r w:rsidRPr="00850D6D">
        <w:rPr>
          <w:sz w:val="25"/>
          <w:szCs w:val="25"/>
        </w:rPr>
        <w:t>В составе представленных в контрольно-счетную палату документов и материалов по проекту решения проект бюджетного прогноза не представл</w:t>
      </w:r>
      <w:r w:rsidR="00850D6D" w:rsidRPr="00850D6D">
        <w:rPr>
          <w:sz w:val="25"/>
          <w:szCs w:val="25"/>
        </w:rPr>
        <w:t>ен.</w:t>
      </w:r>
      <w:r w:rsidRPr="00850D6D">
        <w:rPr>
          <w:sz w:val="25"/>
          <w:szCs w:val="25"/>
        </w:rPr>
        <w:t xml:space="preserve"> </w:t>
      </w:r>
    </w:p>
    <w:p w:rsidR="008840F7" w:rsidRDefault="008840F7" w:rsidP="008840F7">
      <w:pPr>
        <w:ind w:firstLine="567"/>
        <w:jc w:val="both"/>
        <w:rPr>
          <w:color w:val="FF0000"/>
          <w:sz w:val="25"/>
          <w:szCs w:val="25"/>
        </w:rPr>
      </w:pPr>
      <w:r w:rsidRPr="00566CD4">
        <w:rPr>
          <w:sz w:val="25"/>
          <w:szCs w:val="25"/>
        </w:rPr>
        <w:lastRenderedPageBreak/>
        <w:t xml:space="preserve">Проект городского бюджета сформирован на очередной финансовый год и на плановый </w:t>
      </w:r>
      <w:r w:rsidRPr="00A50BB1">
        <w:rPr>
          <w:sz w:val="25"/>
          <w:szCs w:val="25"/>
        </w:rPr>
        <w:t>период в «программном» формате. В проекте бюджета программные мероприятия составляют в 201</w:t>
      </w:r>
      <w:r w:rsidR="00343C8A">
        <w:rPr>
          <w:sz w:val="25"/>
          <w:szCs w:val="25"/>
        </w:rPr>
        <w:t>8</w:t>
      </w:r>
      <w:r w:rsidRPr="00A50BB1">
        <w:rPr>
          <w:sz w:val="25"/>
          <w:szCs w:val="25"/>
        </w:rPr>
        <w:t>, 201</w:t>
      </w:r>
      <w:r w:rsidR="00343C8A">
        <w:rPr>
          <w:sz w:val="25"/>
          <w:szCs w:val="25"/>
        </w:rPr>
        <w:t>9</w:t>
      </w:r>
      <w:r w:rsidRPr="00A50BB1">
        <w:rPr>
          <w:sz w:val="25"/>
          <w:szCs w:val="25"/>
        </w:rPr>
        <w:t xml:space="preserve"> и 20</w:t>
      </w:r>
      <w:r w:rsidR="00343C8A">
        <w:rPr>
          <w:sz w:val="25"/>
          <w:szCs w:val="25"/>
        </w:rPr>
        <w:t>20</w:t>
      </w:r>
      <w:r w:rsidRPr="00A50BB1">
        <w:rPr>
          <w:sz w:val="25"/>
          <w:szCs w:val="25"/>
        </w:rPr>
        <w:t xml:space="preserve"> годах </w:t>
      </w:r>
      <w:r w:rsidR="00A50BB1" w:rsidRPr="00A50BB1">
        <w:rPr>
          <w:sz w:val="25"/>
          <w:szCs w:val="25"/>
        </w:rPr>
        <w:t xml:space="preserve">97,7%, </w:t>
      </w:r>
      <w:r w:rsidR="00A50BB1" w:rsidRPr="00A50BB1">
        <w:rPr>
          <w:sz w:val="25"/>
          <w:szCs w:val="25"/>
        </w:rPr>
        <w:tab/>
        <w:t xml:space="preserve">96,6% и 95,1% </w:t>
      </w:r>
      <w:r w:rsidRPr="00A50BB1">
        <w:rPr>
          <w:sz w:val="25"/>
          <w:szCs w:val="25"/>
        </w:rPr>
        <w:t xml:space="preserve"> соответственно.</w:t>
      </w:r>
    </w:p>
    <w:p w:rsidR="008840F7" w:rsidRPr="00566CD4" w:rsidRDefault="008840F7" w:rsidP="008840F7">
      <w:pPr>
        <w:tabs>
          <w:tab w:val="left" w:pos="993"/>
        </w:tabs>
        <w:ind w:firstLine="567"/>
        <w:jc w:val="both"/>
        <w:rPr>
          <w:sz w:val="25"/>
          <w:szCs w:val="25"/>
        </w:rPr>
      </w:pPr>
      <w:r w:rsidRPr="00566CD4">
        <w:rPr>
          <w:b/>
          <w:sz w:val="25"/>
          <w:szCs w:val="25"/>
        </w:rPr>
        <w:t xml:space="preserve">1.3. </w:t>
      </w:r>
      <w:r w:rsidRPr="00566CD4">
        <w:rPr>
          <w:sz w:val="25"/>
          <w:szCs w:val="25"/>
        </w:rPr>
        <w:t>Основные характеристики проекта городского бюджета на 201</w:t>
      </w:r>
      <w:r w:rsidR="00A50BB1">
        <w:rPr>
          <w:sz w:val="25"/>
          <w:szCs w:val="25"/>
        </w:rPr>
        <w:t>8</w:t>
      </w:r>
      <w:r w:rsidRPr="00566CD4">
        <w:rPr>
          <w:sz w:val="25"/>
          <w:szCs w:val="25"/>
        </w:rPr>
        <w:t>-20</w:t>
      </w:r>
      <w:r w:rsidR="00A50BB1">
        <w:rPr>
          <w:sz w:val="25"/>
          <w:szCs w:val="25"/>
        </w:rPr>
        <w:t>20</w:t>
      </w:r>
      <w:r w:rsidRPr="00566CD4">
        <w:rPr>
          <w:sz w:val="25"/>
          <w:szCs w:val="25"/>
        </w:rPr>
        <w:t xml:space="preserve"> годы приведены ниже в таблице.</w:t>
      </w:r>
    </w:p>
    <w:p w:rsidR="008840F7" w:rsidRDefault="00E050C6" w:rsidP="008840F7">
      <w:pPr>
        <w:tabs>
          <w:tab w:val="left" w:pos="993"/>
        </w:tabs>
        <w:jc w:val="both"/>
        <w:rPr>
          <w:noProof/>
          <w:color w:val="17365D" w:themeColor="text2" w:themeShade="BF"/>
        </w:rPr>
      </w:pPr>
      <w:r w:rsidRPr="00E050C6">
        <w:rPr>
          <w:noProof/>
        </w:rPr>
        <w:drawing>
          <wp:inline distT="0" distB="0" distL="0" distR="0" wp14:anchorId="2943B936" wp14:editId="26252184">
            <wp:extent cx="6210935" cy="3697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69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E8" w:rsidRDefault="009E31E8" w:rsidP="008840F7">
      <w:pPr>
        <w:tabs>
          <w:tab w:val="left" w:pos="993"/>
        </w:tabs>
        <w:jc w:val="both"/>
        <w:rPr>
          <w:noProof/>
          <w:color w:val="17365D" w:themeColor="text2" w:themeShade="BF"/>
        </w:rPr>
      </w:pPr>
    </w:p>
    <w:p w:rsidR="000A03DB" w:rsidRDefault="008840F7" w:rsidP="008840F7">
      <w:pPr>
        <w:ind w:firstLine="567"/>
        <w:jc w:val="both"/>
        <w:rPr>
          <w:sz w:val="25"/>
          <w:szCs w:val="25"/>
        </w:rPr>
      </w:pPr>
      <w:r w:rsidRPr="00C00C00">
        <w:rPr>
          <w:sz w:val="25"/>
          <w:szCs w:val="25"/>
        </w:rPr>
        <w:t>Городской бюджет на 201</w:t>
      </w:r>
      <w:r w:rsidR="009E31E8">
        <w:rPr>
          <w:sz w:val="25"/>
          <w:szCs w:val="25"/>
        </w:rPr>
        <w:t>8-2020</w:t>
      </w:r>
      <w:r w:rsidRPr="00C00C00">
        <w:rPr>
          <w:sz w:val="25"/>
          <w:szCs w:val="25"/>
        </w:rPr>
        <w:t xml:space="preserve"> годы</w:t>
      </w:r>
      <w:r w:rsidR="009E31E8">
        <w:rPr>
          <w:sz w:val="25"/>
          <w:szCs w:val="25"/>
        </w:rPr>
        <w:t xml:space="preserve"> сформирован </w:t>
      </w:r>
      <w:r w:rsidR="00E050C6">
        <w:rPr>
          <w:sz w:val="25"/>
          <w:szCs w:val="25"/>
        </w:rPr>
        <w:t>на 2018</w:t>
      </w:r>
      <w:r w:rsidR="00E050C6" w:rsidRPr="00C00C00">
        <w:rPr>
          <w:sz w:val="25"/>
          <w:szCs w:val="25"/>
        </w:rPr>
        <w:t xml:space="preserve"> год</w:t>
      </w:r>
      <w:r w:rsidR="00E050C6">
        <w:rPr>
          <w:sz w:val="25"/>
          <w:szCs w:val="25"/>
        </w:rPr>
        <w:t xml:space="preserve"> </w:t>
      </w:r>
      <w:r w:rsidR="009E31E8">
        <w:rPr>
          <w:sz w:val="25"/>
          <w:szCs w:val="25"/>
        </w:rPr>
        <w:t>с дефицитом</w:t>
      </w:r>
      <w:r w:rsidRPr="00C00C00">
        <w:rPr>
          <w:sz w:val="25"/>
          <w:szCs w:val="25"/>
        </w:rPr>
        <w:t xml:space="preserve">, сбалансирован (ст.33 БК РФ). </w:t>
      </w:r>
    </w:p>
    <w:p w:rsidR="008840F7" w:rsidRPr="00C00C00" w:rsidRDefault="008840F7" w:rsidP="008840F7">
      <w:pPr>
        <w:ind w:firstLine="567"/>
        <w:jc w:val="both"/>
        <w:rPr>
          <w:sz w:val="25"/>
          <w:szCs w:val="25"/>
        </w:rPr>
      </w:pPr>
      <w:r w:rsidRPr="00C00C00">
        <w:rPr>
          <w:sz w:val="25"/>
          <w:szCs w:val="25"/>
        </w:rPr>
        <w:t>Дефицит городского бюджета по проекту решения на 201</w:t>
      </w:r>
      <w:r w:rsidR="000A03DB">
        <w:rPr>
          <w:sz w:val="25"/>
          <w:szCs w:val="25"/>
        </w:rPr>
        <w:t>8</w:t>
      </w:r>
      <w:r w:rsidRPr="00C00C00">
        <w:rPr>
          <w:sz w:val="25"/>
          <w:szCs w:val="25"/>
        </w:rPr>
        <w:t xml:space="preserve"> год (</w:t>
      </w:r>
      <w:r w:rsidR="000A03DB" w:rsidRPr="000A03DB">
        <w:rPr>
          <w:sz w:val="25"/>
          <w:szCs w:val="25"/>
        </w:rPr>
        <w:t>133 177,3 тыс.руб.</w:t>
      </w:r>
      <w:r w:rsidRPr="00C00C00">
        <w:rPr>
          <w:sz w:val="25"/>
          <w:szCs w:val="25"/>
        </w:rPr>
        <w:t xml:space="preserve">) (п.3 ч.1 ст.1 проекта решения) соответствует ограничениям, установленным </w:t>
      </w:r>
      <w:hyperlink r:id="rId10" w:history="1">
        <w:r w:rsidRPr="00C00C00">
          <w:rPr>
            <w:sz w:val="25"/>
            <w:szCs w:val="25"/>
          </w:rPr>
          <w:t>п.</w:t>
        </w:r>
      </w:hyperlink>
      <w:hyperlink r:id="rId11" w:history="1">
        <w:r w:rsidRPr="00C00C00">
          <w:rPr>
            <w:sz w:val="25"/>
            <w:szCs w:val="25"/>
          </w:rPr>
          <w:t>3</w:t>
        </w:r>
      </w:hyperlink>
      <w:r w:rsidRPr="00C00C00">
        <w:rPr>
          <w:sz w:val="25"/>
          <w:szCs w:val="25"/>
        </w:rPr>
        <w:t xml:space="preserve"> ст.92.1 БК РФ. </w:t>
      </w:r>
    </w:p>
    <w:p w:rsidR="000E7CE8" w:rsidRPr="00C00C00" w:rsidRDefault="008840F7" w:rsidP="008840F7">
      <w:pPr>
        <w:ind w:firstLine="567"/>
        <w:jc w:val="both"/>
        <w:rPr>
          <w:sz w:val="25"/>
          <w:szCs w:val="25"/>
        </w:rPr>
      </w:pPr>
      <w:r w:rsidRPr="00C00C00">
        <w:rPr>
          <w:sz w:val="25"/>
          <w:szCs w:val="25"/>
        </w:rPr>
        <w:t>Дефицит городского бюджета на 201</w:t>
      </w:r>
      <w:r w:rsidR="000A03DB">
        <w:rPr>
          <w:sz w:val="25"/>
          <w:szCs w:val="25"/>
        </w:rPr>
        <w:t>8</w:t>
      </w:r>
      <w:r w:rsidRPr="00C00C00">
        <w:rPr>
          <w:sz w:val="25"/>
          <w:szCs w:val="25"/>
        </w:rPr>
        <w:t xml:space="preserve"> год по сравнению с ожидаемым исполнением 201</w:t>
      </w:r>
      <w:r w:rsidR="00857F4E">
        <w:rPr>
          <w:sz w:val="25"/>
          <w:szCs w:val="25"/>
        </w:rPr>
        <w:t>7</w:t>
      </w:r>
      <w:r w:rsidRPr="00C00C00">
        <w:rPr>
          <w:sz w:val="25"/>
          <w:szCs w:val="25"/>
        </w:rPr>
        <w:t xml:space="preserve"> года запланирован в размере меньшем </w:t>
      </w:r>
      <w:r w:rsidR="007F19CB">
        <w:rPr>
          <w:sz w:val="25"/>
          <w:szCs w:val="25"/>
        </w:rPr>
        <w:t>на 8,1%</w:t>
      </w:r>
      <w:r w:rsidRPr="00C00C00">
        <w:rPr>
          <w:sz w:val="25"/>
          <w:szCs w:val="25"/>
        </w:rPr>
        <w:t>, по сравнению с исполнением 201</w:t>
      </w:r>
      <w:r w:rsidR="007F19CB">
        <w:rPr>
          <w:sz w:val="25"/>
          <w:szCs w:val="25"/>
        </w:rPr>
        <w:t>4 и 2016</w:t>
      </w:r>
      <w:r w:rsidRPr="00C00C00">
        <w:rPr>
          <w:sz w:val="25"/>
          <w:szCs w:val="25"/>
        </w:rPr>
        <w:t xml:space="preserve"> год</w:t>
      </w:r>
      <w:r w:rsidR="007F19CB">
        <w:rPr>
          <w:sz w:val="25"/>
          <w:szCs w:val="25"/>
        </w:rPr>
        <w:t>ов</w:t>
      </w:r>
      <w:r w:rsidRPr="00C00C00">
        <w:rPr>
          <w:sz w:val="25"/>
          <w:szCs w:val="25"/>
        </w:rPr>
        <w:t xml:space="preserve"> - в размере </w:t>
      </w:r>
      <w:r w:rsidR="007F19CB">
        <w:rPr>
          <w:sz w:val="25"/>
          <w:szCs w:val="25"/>
        </w:rPr>
        <w:t>меньшем в 1,7 раза и 2,2 раза соответственно</w:t>
      </w:r>
      <w:r w:rsidRPr="00C00C00">
        <w:rPr>
          <w:sz w:val="25"/>
          <w:szCs w:val="25"/>
        </w:rPr>
        <w:t>, 201</w:t>
      </w:r>
      <w:r w:rsidR="007F19CB">
        <w:rPr>
          <w:sz w:val="25"/>
          <w:szCs w:val="25"/>
        </w:rPr>
        <w:t>5</w:t>
      </w:r>
      <w:r w:rsidRPr="00C00C00">
        <w:rPr>
          <w:sz w:val="25"/>
          <w:szCs w:val="25"/>
        </w:rPr>
        <w:t xml:space="preserve"> года – в размере </w:t>
      </w:r>
      <w:r w:rsidR="007F19CB">
        <w:rPr>
          <w:sz w:val="25"/>
          <w:szCs w:val="25"/>
        </w:rPr>
        <w:t xml:space="preserve">большем </w:t>
      </w:r>
      <w:r w:rsidRPr="00C00C00">
        <w:rPr>
          <w:sz w:val="25"/>
          <w:szCs w:val="25"/>
        </w:rPr>
        <w:t xml:space="preserve">на </w:t>
      </w:r>
      <w:r w:rsidR="007F19CB">
        <w:rPr>
          <w:sz w:val="25"/>
          <w:szCs w:val="25"/>
        </w:rPr>
        <w:t>38,0</w:t>
      </w:r>
      <w:r w:rsidRPr="00C00C00">
        <w:rPr>
          <w:sz w:val="25"/>
          <w:szCs w:val="25"/>
        </w:rPr>
        <w:t>%.</w:t>
      </w:r>
    </w:p>
    <w:p w:rsidR="008840F7" w:rsidRPr="00461670" w:rsidRDefault="008840F7" w:rsidP="008840F7">
      <w:pPr>
        <w:ind w:firstLine="567"/>
        <w:jc w:val="both"/>
        <w:rPr>
          <w:color w:val="17365D" w:themeColor="text2" w:themeShade="BF"/>
          <w:sz w:val="25"/>
          <w:szCs w:val="25"/>
        </w:rPr>
      </w:pPr>
    </w:p>
    <w:p w:rsidR="00397B8A" w:rsidRDefault="00397B8A" w:rsidP="000E7CE8">
      <w:pPr>
        <w:spacing w:after="120"/>
        <w:ind w:firstLine="567"/>
        <w:jc w:val="center"/>
        <w:rPr>
          <w:b/>
          <w:sz w:val="25"/>
          <w:szCs w:val="25"/>
        </w:rPr>
      </w:pPr>
      <w:r w:rsidRPr="006C23F4">
        <w:rPr>
          <w:b/>
          <w:sz w:val="25"/>
          <w:szCs w:val="25"/>
        </w:rPr>
        <w:t xml:space="preserve">2. Прогноз социально-экономического развития муниципального образования «Город Архангельск» </w:t>
      </w:r>
      <w:bookmarkEnd w:id="0"/>
    </w:p>
    <w:p w:rsidR="002A2408" w:rsidRPr="00770207" w:rsidRDefault="004D6A6C" w:rsidP="002A2408">
      <w:pPr>
        <w:spacing w:before="120"/>
        <w:ind w:firstLine="567"/>
        <w:jc w:val="both"/>
        <w:rPr>
          <w:sz w:val="25"/>
          <w:szCs w:val="25"/>
        </w:rPr>
      </w:pPr>
      <w:r w:rsidRPr="00770207">
        <w:rPr>
          <w:b/>
          <w:sz w:val="25"/>
          <w:szCs w:val="25"/>
        </w:rPr>
        <w:t>2.1.</w:t>
      </w:r>
      <w:r w:rsidRPr="00770207">
        <w:rPr>
          <w:sz w:val="25"/>
          <w:szCs w:val="25"/>
        </w:rPr>
        <w:t xml:space="preserve"> </w:t>
      </w:r>
      <w:r w:rsidR="002A2408" w:rsidRPr="00770207">
        <w:rPr>
          <w:sz w:val="25"/>
          <w:szCs w:val="25"/>
        </w:rPr>
        <w:t>Согласно п.1 ст.169 БК РФ, п.3.2.1 Положения о бюджетном процессе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</w:p>
    <w:p w:rsidR="002A2408" w:rsidRPr="00770207" w:rsidRDefault="002A2408" w:rsidP="002A240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770207">
        <w:rPr>
          <w:bCs/>
          <w:iCs/>
          <w:sz w:val="25"/>
          <w:szCs w:val="25"/>
          <w:lang w:eastAsia="en-US"/>
        </w:rPr>
        <w:t xml:space="preserve">Прогноз социально-экономического развития муниципального образования «Город Архангельск» на 2018 год и на плановый период 2019 и 2020 годов (далее – Прогноз социально-экономического развития) одобрен постановлением Администрации  </w:t>
      </w:r>
      <w:r w:rsidRPr="00770207">
        <w:rPr>
          <w:rFonts w:eastAsiaTheme="minorHAnsi"/>
          <w:sz w:val="25"/>
          <w:szCs w:val="25"/>
          <w:lang w:eastAsia="en-US"/>
        </w:rPr>
        <w:t>МО «Город Архангельск» от 31.10.2017 №1293 в двух вариантах (базового и целевого), которые определены исходя из сценарных условий, основных параметров прогноза социально-экономического развития Российской Федерации и предельных уровней цен (тарифов) на услуги компаний инфраструктурного сектора</w:t>
      </w:r>
      <w:proofErr w:type="gramEnd"/>
      <w:r w:rsidRPr="00770207">
        <w:rPr>
          <w:rFonts w:eastAsiaTheme="minorHAnsi"/>
          <w:sz w:val="25"/>
          <w:szCs w:val="25"/>
          <w:lang w:eastAsia="en-US"/>
        </w:rPr>
        <w:t xml:space="preserve"> на 2018 год и на плановый период 2019 и 2020 годов.</w:t>
      </w:r>
    </w:p>
    <w:p w:rsidR="002A2408" w:rsidRPr="00770207" w:rsidRDefault="002A2408" w:rsidP="002A240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770207">
        <w:rPr>
          <w:bCs/>
          <w:iCs/>
          <w:sz w:val="25"/>
          <w:szCs w:val="25"/>
          <w:lang w:eastAsia="en-US"/>
        </w:rPr>
        <w:t xml:space="preserve">Проект городского бюджета на 2018 год и на плановый период </w:t>
      </w:r>
      <w:r w:rsidRPr="00770207">
        <w:rPr>
          <w:sz w:val="25"/>
          <w:szCs w:val="25"/>
          <w:lang w:eastAsia="en-US"/>
        </w:rPr>
        <w:t xml:space="preserve">2019 и 2020 годов составлен на основе </w:t>
      </w:r>
      <w:r w:rsidRPr="00770207">
        <w:rPr>
          <w:rFonts w:eastAsiaTheme="minorHAnsi"/>
          <w:sz w:val="25"/>
          <w:szCs w:val="25"/>
          <w:lang w:eastAsia="en-US"/>
        </w:rPr>
        <w:t>базового Прогноза социально-экономического развития.</w:t>
      </w:r>
    </w:p>
    <w:p w:rsidR="002A2408" w:rsidRPr="00770207" w:rsidRDefault="002A2408" w:rsidP="002A2408">
      <w:pPr>
        <w:ind w:firstLine="567"/>
        <w:jc w:val="both"/>
        <w:rPr>
          <w:sz w:val="25"/>
          <w:szCs w:val="25"/>
        </w:rPr>
      </w:pPr>
      <w:r w:rsidRPr="00770207">
        <w:rPr>
          <w:b/>
          <w:sz w:val="25"/>
          <w:szCs w:val="25"/>
        </w:rPr>
        <w:lastRenderedPageBreak/>
        <w:t>2.2.</w:t>
      </w:r>
      <w:r w:rsidRPr="00770207">
        <w:rPr>
          <w:sz w:val="25"/>
          <w:szCs w:val="25"/>
        </w:rPr>
        <w:t xml:space="preserve"> </w:t>
      </w:r>
      <w:proofErr w:type="gramStart"/>
      <w:r w:rsidRPr="00770207">
        <w:rPr>
          <w:sz w:val="25"/>
          <w:szCs w:val="25"/>
        </w:rPr>
        <w:t>Согласно ч.2 Порядка разработки, корректировки, осуществления мониторинга и контроля реализации прогноза социально-экономического развития муниципального образования «Город Архангельск», утвержденного постановлением Администрации МО «Город Архангельск» от 17.05.2016 №556, прогноз социально-экономического развития муниципального образования «Город Архангельск» разрабатывается ежегодно на очередной финансовый год и плановый период, в том числе с учетом стратегии социально-экономического развития муниципального образования «Город Архангельск».</w:t>
      </w:r>
      <w:proofErr w:type="gramEnd"/>
    </w:p>
    <w:p w:rsidR="002A2408" w:rsidRPr="00770207" w:rsidRDefault="002A2408" w:rsidP="002A2408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 xml:space="preserve">Стратегия социально-экономического развития муниципального образования «Город Архангельск» на период до 2020 года утверждена постановлением мэра </w:t>
      </w:r>
      <w:proofErr w:type="spellStart"/>
      <w:r w:rsidRPr="00770207">
        <w:rPr>
          <w:sz w:val="25"/>
          <w:szCs w:val="25"/>
        </w:rPr>
        <w:t>г</w:t>
      </w:r>
      <w:proofErr w:type="gramStart"/>
      <w:r w:rsidRPr="00770207">
        <w:rPr>
          <w:sz w:val="25"/>
          <w:szCs w:val="25"/>
        </w:rPr>
        <w:t>.А</w:t>
      </w:r>
      <w:proofErr w:type="gramEnd"/>
      <w:r w:rsidRPr="00770207">
        <w:rPr>
          <w:sz w:val="25"/>
          <w:szCs w:val="25"/>
        </w:rPr>
        <w:t>рхангельска</w:t>
      </w:r>
      <w:proofErr w:type="spellEnd"/>
      <w:r w:rsidRPr="00770207">
        <w:rPr>
          <w:sz w:val="25"/>
          <w:szCs w:val="25"/>
        </w:rPr>
        <w:t xml:space="preserve"> от 20.03.2008 №120. Изменения в Стратегию социально-экономического развития муниципального образования «Город Архангельск» на период до 2020 года внесены постановление</w:t>
      </w:r>
      <w:r w:rsidR="00E33F2D">
        <w:rPr>
          <w:sz w:val="25"/>
          <w:szCs w:val="25"/>
        </w:rPr>
        <w:t>м</w:t>
      </w:r>
      <w:r w:rsidRPr="00770207">
        <w:rPr>
          <w:sz w:val="25"/>
          <w:szCs w:val="25"/>
        </w:rPr>
        <w:t xml:space="preserve"> Главы муниципального образования «Город Архангельск» от 29.09.2017 №1133.</w:t>
      </w:r>
    </w:p>
    <w:p w:rsidR="00B4696A" w:rsidRPr="00770207" w:rsidRDefault="00B4696A" w:rsidP="006C25AF">
      <w:pPr>
        <w:spacing w:after="120"/>
        <w:ind w:firstLine="567"/>
        <w:jc w:val="both"/>
        <w:rPr>
          <w:sz w:val="25"/>
          <w:szCs w:val="25"/>
        </w:rPr>
      </w:pPr>
    </w:p>
    <w:p w:rsidR="00FB4C71" w:rsidRPr="00AD0C3F" w:rsidRDefault="00FB4C71" w:rsidP="00FB4C71">
      <w:pPr>
        <w:spacing w:after="120"/>
        <w:ind w:firstLine="567"/>
        <w:jc w:val="center"/>
        <w:rPr>
          <w:b/>
          <w:sz w:val="25"/>
          <w:szCs w:val="25"/>
        </w:rPr>
      </w:pPr>
      <w:r w:rsidRPr="00AD0C3F">
        <w:rPr>
          <w:b/>
          <w:sz w:val="25"/>
          <w:szCs w:val="25"/>
        </w:rPr>
        <w:t>3. Доходы городского бюджета</w:t>
      </w:r>
    </w:p>
    <w:p w:rsidR="004B6EE0" w:rsidRPr="002551EB" w:rsidRDefault="004B6EE0" w:rsidP="00C2504D">
      <w:pPr>
        <w:pStyle w:val="Default"/>
        <w:ind w:firstLine="567"/>
        <w:jc w:val="both"/>
        <w:rPr>
          <w:sz w:val="25"/>
          <w:szCs w:val="25"/>
        </w:rPr>
      </w:pPr>
      <w:r w:rsidRPr="00C2504D">
        <w:rPr>
          <w:b/>
          <w:bCs/>
          <w:color w:val="auto"/>
          <w:sz w:val="25"/>
          <w:szCs w:val="25"/>
        </w:rPr>
        <w:t>3.1.</w:t>
      </w:r>
      <w:r>
        <w:rPr>
          <w:bCs/>
          <w:color w:val="FF0000"/>
          <w:sz w:val="25"/>
          <w:szCs w:val="25"/>
        </w:rPr>
        <w:t xml:space="preserve"> </w:t>
      </w:r>
      <w:r w:rsidRPr="002551EB">
        <w:rPr>
          <w:sz w:val="25"/>
          <w:szCs w:val="25"/>
        </w:rPr>
        <w:t xml:space="preserve">Основные показатели исполнения городского бюджета за 2015-2017 годы и проекта бюджета на 2018-2020 годы по доходам представлены ниже в таблице. </w:t>
      </w:r>
    </w:p>
    <w:p w:rsidR="004B6EE0" w:rsidRPr="002551EB" w:rsidRDefault="004B6EE0" w:rsidP="004B6EE0">
      <w:pPr>
        <w:ind w:firstLine="709"/>
        <w:jc w:val="right"/>
        <w:rPr>
          <w:sz w:val="20"/>
          <w:szCs w:val="20"/>
        </w:rPr>
      </w:pPr>
      <w:r w:rsidRPr="002551EB">
        <w:rPr>
          <w:sz w:val="20"/>
          <w:szCs w:val="20"/>
        </w:rPr>
        <w:t xml:space="preserve">                                     (тыс.</w:t>
      </w:r>
      <w:r>
        <w:rPr>
          <w:sz w:val="20"/>
          <w:szCs w:val="20"/>
        </w:rPr>
        <w:t xml:space="preserve"> </w:t>
      </w:r>
      <w:r w:rsidRPr="002551EB">
        <w:rPr>
          <w:sz w:val="20"/>
          <w:szCs w:val="20"/>
        </w:rPr>
        <w:t>руб.)</w:t>
      </w:r>
    </w:p>
    <w:tbl>
      <w:tblPr>
        <w:tblW w:w="10070" w:type="dxa"/>
        <w:jc w:val="center"/>
        <w:tblInd w:w="225" w:type="dxa"/>
        <w:tblLayout w:type="fixed"/>
        <w:tblLook w:val="04A0" w:firstRow="1" w:lastRow="0" w:firstColumn="1" w:lastColumn="0" w:noHBand="0" w:noVBand="1"/>
      </w:tblPr>
      <w:tblGrid>
        <w:gridCol w:w="1771"/>
        <w:gridCol w:w="1134"/>
        <w:gridCol w:w="1276"/>
        <w:gridCol w:w="1257"/>
        <w:gridCol w:w="1221"/>
        <w:gridCol w:w="1111"/>
        <w:gridCol w:w="1134"/>
        <w:gridCol w:w="1166"/>
      </w:tblGrid>
      <w:tr w:rsidR="004B6EE0" w:rsidRPr="002551EB" w:rsidTr="00B92D80">
        <w:trPr>
          <w:trHeight w:val="1000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ind w:right="43"/>
              <w:jc w:val="center"/>
              <w:rPr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Исполнено в соответствии с отчетами об исполнении городского бюджета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7"/>
                <w:szCs w:val="17"/>
              </w:rPr>
            </w:pPr>
            <w:r w:rsidRPr="00480C66">
              <w:rPr>
                <w:sz w:val="17"/>
                <w:szCs w:val="17"/>
              </w:rPr>
              <w:t xml:space="preserve">Предусмотрено решением о бюджете на 2017-2019 годы на 2017 год </w:t>
            </w:r>
            <w:r w:rsidRPr="004E75EE">
              <w:rPr>
                <w:sz w:val="17"/>
                <w:szCs w:val="17"/>
              </w:rPr>
              <w:t xml:space="preserve">(решение АГД от 14.12.2016 №460, </w:t>
            </w:r>
            <w:r w:rsidRPr="004A13A2">
              <w:rPr>
                <w:sz w:val="17"/>
                <w:szCs w:val="17"/>
              </w:rPr>
              <w:t>в ред. от 25.10.2017      № 583)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Показатели оценки ожидаемого исполнения городского бюджета за 2017 год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Проект решения</w:t>
            </w:r>
          </w:p>
        </w:tc>
      </w:tr>
      <w:tr w:rsidR="004B6EE0" w:rsidRPr="002551EB" w:rsidTr="00F032D2">
        <w:trPr>
          <w:trHeight w:val="940"/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2551EB" w:rsidRDefault="004B6EE0" w:rsidP="00053662">
            <w:pPr>
              <w:jc w:val="center"/>
              <w:rPr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2015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2016 год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color w:val="0070C0"/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2019 год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sz w:val="18"/>
                <w:szCs w:val="18"/>
              </w:rPr>
            </w:pPr>
            <w:r w:rsidRPr="002551EB">
              <w:rPr>
                <w:sz w:val="18"/>
                <w:szCs w:val="18"/>
              </w:rPr>
              <w:t>2020 год</w:t>
            </w:r>
          </w:p>
        </w:tc>
      </w:tr>
      <w:tr w:rsidR="004B6EE0" w:rsidRPr="002551EB" w:rsidTr="00F032D2">
        <w:trPr>
          <w:trHeight w:val="30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rPr>
                <w:b/>
                <w:sz w:val="18"/>
                <w:szCs w:val="18"/>
              </w:rPr>
            </w:pPr>
            <w:r w:rsidRPr="002551EB">
              <w:rPr>
                <w:b/>
                <w:sz w:val="18"/>
                <w:szCs w:val="18"/>
              </w:rPr>
              <w:t>Доходы,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2551EB" w:rsidRDefault="004B6EE0" w:rsidP="0005366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2551EB">
              <w:rPr>
                <w:b/>
                <w:sz w:val="18"/>
                <w:szCs w:val="18"/>
              </w:rPr>
              <w:t>7 812 884,6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5A21F5" w:rsidRDefault="004B6EE0" w:rsidP="0005366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5A21F5">
              <w:rPr>
                <w:b/>
                <w:sz w:val="18"/>
                <w:szCs w:val="18"/>
              </w:rPr>
              <w:t>7 938 974,9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567B2C" w:rsidRDefault="004B6EE0" w:rsidP="00053662">
            <w:pPr>
              <w:jc w:val="center"/>
              <w:rPr>
                <w:rFonts w:eastAsiaTheme="minorHAnsi"/>
                <w:color w:val="0070C0"/>
                <w:lang w:eastAsia="en-US"/>
              </w:rPr>
            </w:pPr>
            <w:r w:rsidRPr="00567B2C">
              <w:rPr>
                <w:b/>
                <w:color w:val="0070C0"/>
                <w:sz w:val="18"/>
                <w:szCs w:val="18"/>
              </w:rPr>
              <w:fldChar w:fldCharType="begin"/>
            </w:r>
            <w:r w:rsidRPr="00567B2C">
              <w:rPr>
                <w:b/>
                <w:color w:val="0070C0"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источники!R13C3" \a \f 5 \h  \* MERGEFORMAT </w:instrText>
            </w:r>
            <w:r w:rsidRPr="00567B2C">
              <w:rPr>
                <w:b/>
                <w:color w:val="0070C0"/>
                <w:sz w:val="18"/>
                <w:szCs w:val="18"/>
              </w:rPr>
              <w:fldChar w:fldCharType="separate"/>
            </w:r>
          </w:p>
          <w:p w:rsidR="004B6EE0" w:rsidRPr="00567B2C" w:rsidRDefault="004B6EE0" w:rsidP="00053662">
            <w:pPr>
              <w:jc w:val="center"/>
              <w:rPr>
                <w:b/>
                <w:bCs/>
                <w:sz w:val="18"/>
                <w:szCs w:val="18"/>
              </w:rPr>
            </w:pPr>
            <w:r w:rsidRPr="00567B2C">
              <w:rPr>
                <w:b/>
                <w:bCs/>
                <w:sz w:val="18"/>
                <w:szCs w:val="18"/>
              </w:rPr>
              <w:t>7 634 297,4</w:t>
            </w:r>
          </w:p>
          <w:p w:rsidR="004B6EE0" w:rsidRPr="00567B2C" w:rsidRDefault="004B6EE0" w:rsidP="00053662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567B2C">
              <w:rPr>
                <w:b/>
                <w:color w:val="0070C0"/>
                <w:sz w:val="18"/>
                <w:szCs w:val="18"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/>
                <w:color w:val="0070C0"/>
                <w:sz w:val="18"/>
                <w:szCs w:val="18"/>
                <w:highlight w:val="yellow"/>
              </w:rPr>
            </w:pPr>
            <w:r w:rsidRPr="009E48D4">
              <w:rPr>
                <w:b/>
                <w:sz w:val="18"/>
                <w:szCs w:val="18"/>
              </w:rPr>
              <w:t>8 325 118,1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9E48D4" w:rsidRDefault="004B6EE0" w:rsidP="0005366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9E48D4">
              <w:rPr>
                <w:b/>
                <w:sz w:val="18"/>
                <w:szCs w:val="18"/>
              </w:rPr>
              <w:t>8 207 728,3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434991" w:rsidRDefault="004B6EE0" w:rsidP="0005366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34991">
              <w:rPr>
                <w:b/>
                <w:sz w:val="18"/>
                <w:szCs w:val="18"/>
              </w:rPr>
              <w:t>8 352 754,5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/>
                <w:color w:val="0070C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434991">
              <w:rPr>
                <w:b/>
                <w:sz w:val="18"/>
                <w:szCs w:val="18"/>
              </w:rPr>
              <w:t> 432 018,8</w:t>
            </w:r>
          </w:p>
        </w:tc>
      </w:tr>
      <w:tr w:rsidR="004B6EE0" w:rsidRPr="002551EB" w:rsidTr="00F032D2">
        <w:trPr>
          <w:trHeight w:val="293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rPr>
                <w:i/>
                <w:iCs/>
                <w:sz w:val="18"/>
                <w:szCs w:val="18"/>
              </w:rPr>
            </w:pPr>
            <w:r w:rsidRPr="002551EB">
              <w:rPr>
                <w:i/>
                <w:i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0836E4">
              <w:rPr>
                <w:i/>
                <w:iCs/>
                <w:sz w:val="18"/>
                <w:szCs w:val="18"/>
              </w:rPr>
              <w:t>4 376 303,4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4 276 064,9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4 304 907,5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FD12EE" w:rsidRDefault="004B6EE0" w:rsidP="00053662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FD12EE">
              <w:rPr>
                <w:i/>
                <w:iCs/>
                <w:sz w:val="18"/>
                <w:szCs w:val="18"/>
              </w:rPr>
              <w:fldChar w:fldCharType="begin"/>
            </w:r>
            <w:r w:rsidRPr="00FD12EE">
              <w:rPr>
                <w:i/>
                <w:iCs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источники!R9C4" \a \f 5 \h  \* MERGEFORMAT </w:instrText>
            </w:r>
            <w:r w:rsidRPr="00FD12EE">
              <w:rPr>
                <w:i/>
                <w:iCs/>
                <w:sz w:val="18"/>
                <w:szCs w:val="18"/>
              </w:rPr>
              <w:fldChar w:fldCharType="separate"/>
            </w:r>
          </w:p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t>4 367 797,5</w:t>
            </w:r>
          </w:p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9E48D4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9E48D4">
              <w:rPr>
                <w:i/>
                <w:iCs/>
                <w:sz w:val="18"/>
                <w:szCs w:val="18"/>
              </w:rPr>
              <w:t>4 534 199,1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434991">
              <w:rPr>
                <w:i/>
                <w:iCs/>
                <w:sz w:val="18"/>
                <w:szCs w:val="18"/>
              </w:rPr>
              <w:t>4 630 569,0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434991">
              <w:rPr>
                <w:i/>
                <w:iCs/>
                <w:sz w:val="18"/>
                <w:szCs w:val="18"/>
              </w:rPr>
              <w:t>4 736 877,7</w:t>
            </w:r>
          </w:p>
        </w:tc>
      </w:tr>
      <w:tr w:rsidR="004B6EE0" w:rsidRPr="002551EB" w:rsidTr="00F032D2">
        <w:trPr>
          <w:trHeight w:val="60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E0" w:rsidRPr="002551EB" w:rsidRDefault="004B6EE0" w:rsidP="00053662">
            <w:pPr>
              <w:rPr>
                <w:i/>
                <w:iCs/>
                <w:sz w:val="18"/>
                <w:szCs w:val="18"/>
              </w:rPr>
            </w:pPr>
            <w:r w:rsidRPr="002551EB">
              <w:rPr>
                <w:i/>
                <w:i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3 436 581,2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3 662 910,0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3 329 389,9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fldChar w:fldCharType="begin"/>
            </w:r>
            <w:r w:rsidRPr="00FD12EE">
              <w:rPr>
                <w:i/>
                <w:iCs/>
                <w:sz w:val="18"/>
                <w:szCs w:val="18"/>
              </w:rPr>
              <w:instrText xml:space="preserve"> LINK Excel.Sheet.8 "\\\\cfs2\\ksp\\Проект ГБна 2017-2019 годы\\Доп (Оценка ожид.исп.-Дох,Ист).xls" "доходы источники!R11C4" \a \f 5 \h  \* MERGEFORMAT </w:instrText>
            </w:r>
            <w:r w:rsidRPr="00FD12EE">
              <w:rPr>
                <w:i/>
                <w:iCs/>
                <w:sz w:val="18"/>
                <w:szCs w:val="18"/>
              </w:rPr>
              <w:fldChar w:fldCharType="separate"/>
            </w:r>
          </w:p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t>3 957 320,6</w:t>
            </w:r>
          </w:p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9E48D4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9E48D4">
              <w:rPr>
                <w:i/>
                <w:iCs/>
                <w:sz w:val="18"/>
                <w:szCs w:val="18"/>
              </w:rPr>
              <w:t>3 67</w:t>
            </w:r>
            <w:r>
              <w:rPr>
                <w:i/>
                <w:iCs/>
                <w:sz w:val="18"/>
                <w:szCs w:val="18"/>
              </w:rPr>
              <w:t>3</w:t>
            </w:r>
            <w:r w:rsidRPr="009E48D4">
              <w:rPr>
                <w:i/>
                <w:iCs/>
                <w:sz w:val="18"/>
                <w:szCs w:val="18"/>
              </w:rPr>
              <w:t> 529,2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434991">
              <w:rPr>
                <w:i/>
                <w:iCs/>
                <w:sz w:val="18"/>
                <w:szCs w:val="18"/>
              </w:rPr>
              <w:t>3 722 185,5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  <w:highlight w:val="yellow"/>
              </w:rPr>
            </w:pPr>
            <w:r w:rsidRPr="00434991">
              <w:rPr>
                <w:i/>
                <w:iCs/>
                <w:sz w:val="18"/>
                <w:szCs w:val="18"/>
              </w:rPr>
              <w:t>3 695 141,1</w:t>
            </w:r>
          </w:p>
        </w:tc>
      </w:tr>
      <w:tr w:rsidR="004B6EE0" w:rsidRPr="002551EB" w:rsidTr="00F032D2">
        <w:trPr>
          <w:trHeight w:val="570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E0" w:rsidRPr="002551EB" w:rsidRDefault="004B6EE0" w:rsidP="00053662">
            <w:pPr>
              <w:rPr>
                <w:i/>
                <w:iCs/>
                <w:sz w:val="18"/>
                <w:szCs w:val="18"/>
              </w:rPr>
            </w:pPr>
            <w:r w:rsidRPr="002551EB">
              <w:rPr>
                <w:i/>
                <w:iCs/>
                <w:sz w:val="18"/>
                <w:szCs w:val="18"/>
              </w:rPr>
              <w:t>Доля собственных доходов в общей сумме доходов,%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0836E4">
              <w:rPr>
                <w:i/>
                <w:iCs/>
                <w:sz w:val="18"/>
                <w:szCs w:val="18"/>
              </w:rPr>
              <w:t>53,9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0836E4" w:rsidRDefault="004B6EE0" w:rsidP="00053662">
            <w:pPr>
              <w:jc w:val="center"/>
              <w:rPr>
                <w:i/>
                <w:iCs/>
                <w:color w:val="0070C0"/>
                <w:sz w:val="18"/>
                <w:szCs w:val="18"/>
              </w:rPr>
            </w:pPr>
            <w:r w:rsidRPr="00567B2C">
              <w:rPr>
                <w:i/>
                <w:iCs/>
                <w:sz w:val="18"/>
                <w:szCs w:val="18"/>
              </w:rPr>
              <w:t>56,4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FD12EE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FD12EE">
              <w:rPr>
                <w:i/>
                <w:iCs/>
                <w:sz w:val="18"/>
                <w:szCs w:val="18"/>
              </w:rPr>
              <w:t>5</w:t>
            </w:r>
            <w:r>
              <w:rPr>
                <w:i/>
                <w:iCs/>
                <w:sz w:val="18"/>
                <w:szCs w:val="18"/>
              </w:rPr>
              <w:t>2</w:t>
            </w:r>
            <w:r w:rsidRPr="00FD12EE">
              <w:rPr>
                <w:i/>
                <w:iCs/>
                <w:sz w:val="18"/>
                <w:szCs w:val="18"/>
              </w:rPr>
              <w:t>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9E48D4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9E48D4">
              <w:rPr>
                <w:i/>
                <w:iCs/>
                <w:sz w:val="18"/>
                <w:szCs w:val="18"/>
              </w:rPr>
              <w:t>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434991">
              <w:rPr>
                <w:i/>
                <w:iCs/>
                <w:sz w:val="18"/>
                <w:szCs w:val="18"/>
              </w:rPr>
              <w:t>55,4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6EE0" w:rsidRPr="00434991" w:rsidRDefault="004B6EE0" w:rsidP="00053662">
            <w:pPr>
              <w:jc w:val="center"/>
              <w:rPr>
                <w:i/>
                <w:iCs/>
                <w:sz w:val="18"/>
                <w:szCs w:val="18"/>
              </w:rPr>
            </w:pPr>
            <w:r w:rsidRPr="00434991">
              <w:rPr>
                <w:i/>
                <w:iCs/>
                <w:sz w:val="18"/>
                <w:szCs w:val="18"/>
              </w:rPr>
              <w:t>56,2</w:t>
            </w:r>
          </w:p>
        </w:tc>
      </w:tr>
    </w:tbl>
    <w:p w:rsidR="004B6EE0" w:rsidRPr="002551EB" w:rsidRDefault="004B6EE0" w:rsidP="004B6EE0">
      <w:pPr>
        <w:ind w:firstLine="567"/>
        <w:jc w:val="both"/>
        <w:rPr>
          <w:bCs/>
          <w:color w:val="0070C0"/>
          <w:highlight w:val="yellow"/>
        </w:rPr>
      </w:pP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>Согласно показателям оценки исполнение доходной части городского бюджета за 2017 год ожидается в объеме 8 325 118,1</w:t>
      </w:r>
      <w:r w:rsidRPr="00770207">
        <w:rPr>
          <w:b/>
          <w:sz w:val="25"/>
          <w:szCs w:val="25"/>
        </w:rPr>
        <w:t xml:space="preserve">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., что составляет 109,0% от общего объема доходов, предусмотренного решением Архангельской городской Думы от 14.12.2016 №460 «О городском бюджете на 2017 год и на плановый период 2018 и 2019 годов» (в ред. от 25.10.2017),  104,9% - от исполнения по доходам 2016 года, 106,6%  - от исполнения по доходам 2015 года. 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 xml:space="preserve">Общие доходы городского бюджета на 2018 год и на плановый период 2019 и 2020 годов к оценке ожидаемого исполнения городского бюджета по доходам за 2017 год прогнозируются: на 2018 год – со снижением на 117 389,8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 или на 1,4%, на 2019 год и на 2020 год – с увеличением, соответственно, на 27 636,4 </w:t>
      </w:r>
      <w:proofErr w:type="spellStart"/>
      <w:r w:rsidRPr="00770207">
        <w:rPr>
          <w:sz w:val="25"/>
          <w:szCs w:val="25"/>
        </w:rPr>
        <w:t>тыс.руб</w:t>
      </w:r>
      <w:proofErr w:type="spellEnd"/>
      <w:r w:rsidRPr="00770207">
        <w:rPr>
          <w:sz w:val="25"/>
          <w:szCs w:val="25"/>
        </w:rPr>
        <w:t xml:space="preserve">. или на 0,3%, на 106 900,7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>. или на 1,3%.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>Ожидаемый объем исполнения городского бюджета по налоговым и неналоговым доходам  за  2017 год  в сравнении с отчетными данными за 2016 год увеличился на</w:t>
      </w:r>
      <w:r w:rsidRPr="00DD1385">
        <w:rPr>
          <w:sz w:val="25"/>
          <w:szCs w:val="25"/>
        </w:rPr>
        <w:t xml:space="preserve"> </w:t>
      </w:r>
      <w:r w:rsidRPr="00770207">
        <w:rPr>
          <w:sz w:val="25"/>
          <w:szCs w:val="25"/>
        </w:rPr>
        <w:t xml:space="preserve">91 732,6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 или на 2,1%, с данными отчета за 2015 год – уменьшился на 8 505,9 </w:t>
      </w:r>
      <w:proofErr w:type="spellStart"/>
      <w:r w:rsidRPr="00770207">
        <w:rPr>
          <w:sz w:val="25"/>
          <w:szCs w:val="25"/>
        </w:rPr>
        <w:t>тыс.руб</w:t>
      </w:r>
      <w:proofErr w:type="spellEnd"/>
      <w:r w:rsidRPr="00770207">
        <w:rPr>
          <w:sz w:val="25"/>
          <w:szCs w:val="25"/>
        </w:rPr>
        <w:t xml:space="preserve">. или на 0,2%.  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lastRenderedPageBreak/>
        <w:t>Динамика доходной части по налоговым и неналоговым поступлениям (отчетные данные за 2015 и 2016 годы, данные оценки за 2017 год, прогнозные данные на 2018-2020 годы) представлена ниже на диаграмме.</w:t>
      </w:r>
    </w:p>
    <w:p w:rsidR="004B6EE0" w:rsidRPr="002551EB" w:rsidRDefault="004B6EE0" w:rsidP="004B6EE0">
      <w:pPr>
        <w:ind w:firstLine="567"/>
        <w:jc w:val="center"/>
        <w:rPr>
          <w:b/>
          <w:i/>
          <w:color w:val="0070C0"/>
          <w:sz w:val="25"/>
          <w:szCs w:val="25"/>
        </w:rPr>
      </w:pPr>
    </w:p>
    <w:p w:rsidR="004B6EE0" w:rsidRDefault="004B6EE0" w:rsidP="004B6EE0">
      <w:pPr>
        <w:ind w:firstLine="567"/>
        <w:jc w:val="center"/>
        <w:rPr>
          <w:b/>
          <w:i/>
        </w:rPr>
      </w:pPr>
      <w:r w:rsidRPr="00DF26EA">
        <w:rPr>
          <w:b/>
          <w:i/>
        </w:rPr>
        <w:t xml:space="preserve">Объем собственных доходов в разрезе налоговых и </w:t>
      </w:r>
    </w:p>
    <w:p w:rsidR="004B6EE0" w:rsidRPr="00DF26EA" w:rsidRDefault="004B6EE0" w:rsidP="004B6EE0">
      <w:pPr>
        <w:ind w:firstLine="567"/>
        <w:jc w:val="center"/>
        <w:rPr>
          <w:b/>
          <w:i/>
        </w:rPr>
      </w:pPr>
      <w:r w:rsidRPr="00DF26EA">
        <w:rPr>
          <w:b/>
          <w:i/>
        </w:rPr>
        <w:t xml:space="preserve">неналоговых поступлений, </w:t>
      </w:r>
      <w:proofErr w:type="spellStart"/>
      <w:r w:rsidR="00D548CF">
        <w:rPr>
          <w:b/>
          <w:i/>
        </w:rPr>
        <w:t>млн</w:t>
      </w:r>
      <w:proofErr w:type="gramStart"/>
      <w:r w:rsidRPr="00DF26EA">
        <w:rPr>
          <w:b/>
          <w:i/>
        </w:rPr>
        <w:t>.р</w:t>
      </w:r>
      <w:proofErr w:type="gramEnd"/>
      <w:r w:rsidRPr="00DF26EA">
        <w:rPr>
          <w:b/>
          <w:i/>
        </w:rPr>
        <w:t>уб</w:t>
      </w:r>
      <w:proofErr w:type="spellEnd"/>
      <w:r w:rsidRPr="00DF26EA">
        <w:rPr>
          <w:b/>
          <w:i/>
        </w:rPr>
        <w:t>.</w:t>
      </w:r>
    </w:p>
    <w:p w:rsidR="004B6EE0" w:rsidRPr="002551EB" w:rsidRDefault="004B6EE0" w:rsidP="004B6EE0">
      <w:pPr>
        <w:ind w:firstLine="567"/>
        <w:jc w:val="center"/>
        <w:rPr>
          <w:b/>
          <w:i/>
          <w:color w:val="0070C0"/>
        </w:rPr>
      </w:pPr>
      <w:r>
        <w:rPr>
          <w:noProof/>
        </w:rPr>
        <w:drawing>
          <wp:inline distT="0" distB="0" distL="0" distR="0" wp14:anchorId="2B0099E2" wp14:editId="511C2B39">
            <wp:extent cx="4055165" cy="2202511"/>
            <wp:effectExtent l="0" t="0" r="21590" b="266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6EE0" w:rsidRDefault="004B6EE0" w:rsidP="004B6EE0">
      <w:pPr>
        <w:ind w:firstLine="567"/>
        <w:jc w:val="center"/>
        <w:rPr>
          <w:b/>
          <w:i/>
          <w:color w:val="0070C0"/>
          <w:sz w:val="16"/>
          <w:szCs w:val="16"/>
        </w:rPr>
      </w:pPr>
    </w:p>
    <w:p w:rsidR="004B6EE0" w:rsidRPr="002551EB" w:rsidRDefault="004B6EE0" w:rsidP="004B6EE0">
      <w:pPr>
        <w:ind w:firstLine="567"/>
        <w:jc w:val="both"/>
        <w:rPr>
          <w:color w:val="0070C0"/>
          <w:sz w:val="25"/>
          <w:szCs w:val="25"/>
        </w:rPr>
      </w:pPr>
    </w:p>
    <w:p w:rsidR="004B6EE0" w:rsidRPr="00C617BD" w:rsidRDefault="004B6EE0" w:rsidP="004B6EE0">
      <w:pPr>
        <w:ind w:firstLine="567"/>
        <w:jc w:val="both"/>
        <w:rPr>
          <w:rFonts w:asciiTheme="minorHAnsi" w:hAnsiTheme="minorHAnsi"/>
          <w:bCs/>
          <w:sz w:val="20"/>
          <w:szCs w:val="20"/>
        </w:rPr>
      </w:pPr>
      <w:r w:rsidRPr="00C617BD">
        <w:rPr>
          <w:sz w:val="25"/>
          <w:szCs w:val="25"/>
        </w:rPr>
        <w:t>Основные показатели налоговых и неналоговых доходов по проекту решения представлены  ниже в таблице.</w:t>
      </w:r>
    </w:p>
    <w:p w:rsidR="004B6EE0" w:rsidRPr="00C617BD" w:rsidRDefault="004B6EE0" w:rsidP="004B6EE0">
      <w:pPr>
        <w:jc w:val="right"/>
        <w:rPr>
          <w:bCs/>
          <w:sz w:val="20"/>
          <w:szCs w:val="20"/>
        </w:rPr>
      </w:pPr>
      <w:r w:rsidRPr="00C617BD">
        <w:rPr>
          <w:bCs/>
          <w:sz w:val="20"/>
          <w:szCs w:val="20"/>
        </w:rPr>
        <w:t xml:space="preserve"> (</w:t>
      </w:r>
      <w:proofErr w:type="spellStart"/>
      <w:r w:rsidRPr="00C617BD">
        <w:rPr>
          <w:bCs/>
          <w:sz w:val="20"/>
          <w:szCs w:val="20"/>
        </w:rPr>
        <w:t>тыс</w:t>
      </w:r>
      <w:proofErr w:type="gramStart"/>
      <w:r w:rsidRPr="00C617BD">
        <w:rPr>
          <w:bCs/>
          <w:sz w:val="20"/>
          <w:szCs w:val="20"/>
        </w:rPr>
        <w:t>.р</w:t>
      </w:r>
      <w:proofErr w:type="gramEnd"/>
      <w:r w:rsidRPr="00C617BD">
        <w:rPr>
          <w:bCs/>
          <w:sz w:val="20"/>
          <w:szCs w:val="20"/>
        </w:rPr>
        <w:t>уб</w:t>
      </w:r>
      <w:proofErr w:type="spellEnd"/>
      <w:r w:rsidRPr="00C617BD">
        <w:rPr>
          <w:bCs/>
          <w:sz w:val="20"/>
          <w:szCs w:val="20"/>
        </w:rP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13"/>
        <w:gridCol w:w="1225"/>
        <w:gridCol w:w="1205"/>
        <w:gridCol w:w="1236"/>
        <w:gridCol w:w="1235"/>
      </w:tblGrid>
      <w:tr w:rsidR="004B6EE0" w:rsidRPr="002551EB" w:rsidTr="00D548CF">
        <w:tc>
          <w:tcPr>
            <w:tcW w:w="3686" w:type="dxa"/>
            <w:vMerge w:val="restart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Показатель</w:t>
            </w:r>
          </w:p>
        </w:tc>
        <w:tc>
          <w:tcPr>
            <w:tcW w:w="1213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ED0A06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1225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ED0A06">
              <w:rPr>
                <w:bCs/>
                <w:sz w:val="20"/>
                <w:szCs w:val="20"/>
              </w:rPr>
              <w:t>2017 год</w:t>
            </w:r>
          </w:p>
        </w:tc>
        <w:tc>
          <w:tcPr>
            <w:tcW w:w="3676" w:type="dxa"/>
            <w:gridSpan w:val="3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ED0A06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4B6EE0" w:rsidRPr="002551EB" w:rsidTr="00D548CF">
        <w:tc>
          <w:tcPr>
            <w:tcW w:w="3686" w:type="dxa"/>
            <w:vMerge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iCs/>
                <w:sz w:val="20"/>
                <w:szCs w:val="20"/>
              </w:rPr>
            </w:pPr>
            <w:r w:rsidRPr="00ED0A06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25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iCs/>
                <w:sz w:val="20"/>
                <w:szCs w:val="20"/>
              </w:rPr>
            </w:pPr>
            <w:r w:rsidRPr="00ED0A06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205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iCs/>
                <w:sz w:val="20"/>
                <w:szCs w:val="20"/>
              </w:rPr>
            </w:pPr>
            <w:r w:rsidRPr="00ED0A06">
              <w:rPr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236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iCs/>
                <w:sz w:val="20"/>
                <w:szCs w:val="20"/>
              </w:rPr>
            </w:pPr>
            <w:r w:rsidRPr="00ED0A06">
              <w:rPr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235" w:type="dxa"/>
            <w:shd w:val="clear" w:color="auto" w:fill="auto"/>
          </w:tcPr>
          <w:p w:rsidR="004B6EE0" w:rsidRPr="00ED0A06" w:rsidRDefault="004B6EE0" w:rsidP="00053662">
            <w:pPr>
              <w:jc w:val="center"/>
              <w:rPr>
                <w:bCs/>
                <w:iCs/>
                <w:sz w:val="20"/>
                <w:szCs w:val="20"/>
              </w:rPr>
            </w:pPr>
            <w:r w:rsidRPr="00ED0A06">
              <w:rPr>
                <w:bCs/>
                <w:iCs/>
                <w:sz w:val="20"/>
                <w:szCs w:val="20"/>
              </w:rPr>
              <w:t>2020 год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2551EB" w:rsidRDefault="004B6EE0" w:rsidP="00053662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015DA2">
              <w:rPr>
                <w:b/>
                <w:sz w:val="20"/>
                <w:szCs w:val="20"/>
              </w:rPr>
              <w:t>4 276 064,9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0041DC">
              <w:rPr>
                <w:b/>
                <w:sz w:val="20"/>
                <w:szCs w:val="20"/>
              </w:rPr>
              <w:t>4 367 797,5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4 534 199,1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4 630 569,0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4 736 877,7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i/>
                <w:sz w:val="20"/>
                <w:szCs w:val="20"/>
              </w:rPr>
            </w:pPr>
            <w:r w:rsidRPr="00ED0A06">
              <w:rPr>
                <w:b/>
                <w:i/>
                <w:sz w:val="20"/>
                <w:szCs w:val="20"/>
              </w:rPr>
              <w:t xml:space="preserve">Налоговые доходы, </w:t>
            </w:r>
            <w:proofErr w:type="spellStart"/>
            <w:r w:rsidRPr="00ED0A06">
              <w:rPr>
                <w:b/>
                <w:i/>
                <w:sz w:val="20"/>
                <w:szCs w:val="20"/>
              </w:rPr>
              <w:t>в.т</w:t>
            </w:r>
            <w:proofErr w:type="gramStart"/>
            <w:r w:rsidRPr="00ED0A06">
              <w:rPr>
                <w:b/>
                <w:i/>
                <w:sz w:val="20"/>
                <w:szCs w:val="20"/>
              </w:rPr>
              <w:t>.ч</w:t>
            </w:r>
            <w:proofErr w:type="spellEnd"/>
            <w:proofErr w:type="gramEnd"/>
            <w:r w:rsidRPr="00ED0A06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6E0182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6E0182">
              <w:rPr>
                <w:b/>
                <w:sz w:val="20"/>
                <w:szCs w:val="20"/>
              </w:rPr>
              <w:t>3 490 254,0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0041DC">
              <w:rPr>
                <w:b/>
                <w:sz w:val="20"/>
                <w:szCs w:val="20"/>
              </w:rPr>
              <w:t>3 720 829,7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3 910 785,1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4 019 138,2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4 148 576,0</w:t>
            </w:r>
          </w:p>
        </w:tc>
      </w:tr>
      <w:tr w:rsidR="004B6EE0" w:rsidRPr="002551EB" w:rsidTr="00D548CF">
        <w:trPr>
          <w:trHeight w:val="70"/>
        </w:trPr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6E0182" w:rsidRDefault="004B6EE0" w:rsidP="00053662">
            <w:pPr>
              <w:jc w:val="center"/>
              <w:rPr>
                <w:sz w:val="20"/>
                <w:szCs w:val="20"/>
              </w:rPr>
            </w:pPr>
            <w:r w:rsidRPr="006E0182">
              <w:rPr>
                <w:sz w:val="20"/>
                <w:szCs w:val="20"/>
              </w:rPr>
              <w:t>2 663 723,2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sz w:val="20"/>
                <w:szCs w:val="20"/>
              </w:rPr>
            </w:pPr>
            <w:r w:rsidRPr="000041DC">
              <w:rPr>
                <w:sz w:val="20"/>
                <w:szCs w:val="20"/>
              </w:rPr>
              <w:t>2 935 102,5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sz w:val="20"/>
                <w:szCs w:val="20"/>
              </w:rPr>
            </w:pPr>
            <w:r w:rsidRPr="00470080">
              <w:rPr>
                <w:sz w:val="20"/>
                <w:szCs w:val="20"/>
              </w:rPr>
              <w:t>3 101 379,6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3 184 659,5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3 290 571,3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по подакцизным товарам, производимым на территории Российской Федерации 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6E0182" w:rsidRDefault="004B6EE0" w:rsidP="00053662">
            <w:pPr>
              <w:jc w:val="center"/>
              <w:rPr>
                <w:sz w:val="20"/>
                <w:szCs w:val="20"/>
              </w:rPr>
            </w:pPr>
            <w:r w:rsidRPr="006E0182">
              <w:rPr>
                <w:sz w:val="20"/>
                <w:szCs w:val="20"/>
              </w:rPr>
              <w:t>18 362,6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sz w:val="20"/>
                <w:szCs w:val="20"/>
              </w:rPr>
            </w:pPr>
            <w:r w:rsidRPr="000041DC">
              <w:rPr>
                <w:sz w:val="20"/>
                <w:szCs w:val="20"/>
              </w:rPr>
              <w:t>14 183,6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sz w:val="20"/>
                <w:szCs w:val="20"/>
              </w:rPr>
            </w:pPr>
            <w:r w:rsidRPr="00470080">
              <w:rPr>
                <w:sz w:val="20"/>
                <w:szCs w:val="20"/>
              </w:rPr>
              <w:t>14 635,5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15 403,7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16 254,7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 xml:space="preserve">Налоги на совокупный доход 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6E0182" w:rsidRDefault="004B6EE0" w:rsidP="00053662">
            <w:pPr>
              <w:jc w:val="center"/>
              <w:rPr>
                <w:sz w:val="20"/>
                <w:szCs w:val="20"/>
              </w:rPr>
            </w:pPr>
            <w:r w:rsidRPr="006E0182">
              <w:rPr>
                <w:sz w:val="20"/>
                <w:szCs w:val="20"/>
              </w:rPr>
              <w:t>489 468,8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sz w:val="20"/>
                <w:szCs w:val="20"/>
              </w:rPr>
            </w:pPr>
            <w:r w:rsidRPr="000041DC">
              <w:rPr>
                <w:sz w:val="20"/>
                <w:szCs w:val="20"/>
              </w:rPr>
              <w:t>460 350,0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sz w:val="20"/>
                <w:szCs w:val="20"/>
              </w:rPr>
            </w:pPr>
            <w:r w:rsidRPr="00470080">
              <w:rPr>
                <w:sz w:val="20"/>
                <w:szCs w:val="20"/>
              </w:rPr>
              <w:t>472 000,0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480 400,0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486 000,0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Налоги на имуществ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213" w:type="dxa"/>
            <w:shd w:val="clear" w:color="auto" w:fill="auto"/>
          </w:tcPr>
          <w:p w:rsidR="004B6EE0" w:rsidRPr="006E0182" w:rsidRDefault="004B6EE0" w:rsidP="00053662">
            <w:pPr>
              <w:jc w:val="center"/>
              <w:rPr>
                <w:sz w:val="20"/>
                <w:szCs w:val="20"/>
              </w:rPr>
            </w:pPr>
            <w:r w:rsidRPr="006E0182">
              <w:rPr>
                <w:sz w:val="20"/>
                <w:szCs w:val="20"/>
              </w:rPr>
              <w:t>237 441,5</w:t>
            </w:r>
          </w:p>
        </w:tc>
        <w:tc>
          <w:tcPr>
            <w:tcW w:w="1225" w:type="dxa"/>
            <w:shd w:val="clear" w:color="auto" w:fill="auto"/>
          </w:tcPr>
          <w:p w:rsidR="004B6EE0" w:rsidRPr="000041DC" w:rsidRDefault="004B6EE0" w:rsidP="00053662">
            <w:pPr>
              <w:jc w:val="center"/>
              <w:rPr>
                <w:sz w:val="20"/>
                <w:szCs w:val="20"/>
              </w:rPr>
            </w:pPr>
            <w:r w:rsidRPr="000041DC">
              <w:rPr>
                <w:sz w:val="20"/>
                <w:szCs w:val="20"/>
              </w:rPr>
              <w:t>224 500,0</w:t>
            </w:r>
          </w:p>
        </w:tc>
        <w:tc>
          <w:tcPr>
            <w:tcW w:w="1205" w:type="dxa"/>
            <w:shd w:val="clear" w:color="auto" w:fill="auto"/>
          </w:tcPr>
          <w:p w:rsidR="004B6EE0" w:rsidRPr="00470080" w:rsidRDefault="004B6EE0" w:rsidP="00053662">
            <w:pPr>
              <w:jc w:val="center"/>
              <w:rPr>
                <w:sz w:val="20"/>
                <w:szCs w:val="20"/>
              </w:rPr>
            </w:pPr>
            <w:r w:rsidRPr="00470080">
              <w:rPr>
                <w:sz w:val="20"/>
                <w:szCs w:val="20"/>
              </w:rPr>
              <w:t>237 000,0</w:t>
            </w:r>
          </w:p>
        </w:tc>
        <w:tc>
          <w:tcPr>
            <w:tcW w:w="1236" w:type="dxa"/>
            <w:shd w:val="clear" w:color="auto" w:fill="auto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253 300,0</w:t>
            </w:r>
          </w:p>
        </w:tc>
        <w:tc>
          <w:tcPr>
            <w:tcW w:w="1235" w:type="dxa"/>
            <w:shd w:val="clear" w:color="auto" w:fill="auto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270 800,0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Default="004B6EE0" w:rsidP="00053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налоговые доходы</w:t>
            </w:r>
          </w:p>
        </w:tc>
        <w:tc>
          <w:tcPr>
            <w:tcW w:w="1213" w:type="dxa"/>
            <w:shd w:val="clear" w:color="auto" w:fill="auto"/>
          </w:tcPr>
          <w:p w:rsidR="004B6EE0" w:rsidRPr="006E0182" w:rsidRDefault="004B6EE0" w:rsidP="00053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81 257,9</w:t>
            </w:r>
          </w:p>
        </w:tc>
        <w:tc>
          <w:tcPr>
            <w:tcW w:w="1225" w:type="dxa"/>
            <w:shd w:val="clear" w:color="auto" w:fill="auto"/>
          </w:tcPr>
          <w:p w:rsidR="004B6EE0" w:rsidRPr="000041DC" w:rsidRDefault="004B6EE0" w:rsidP="00053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86 693,6</w:t>
            </w:r>
          </w:p>
        </w:tc>
        <w:tc>
          <w:tcPr>
            <w:tcW w:w="1205" w:type="dxa"/>
            <w:shd w:val="clear" w:color="auto" w:fill="auto"/>
          </w:tcPr>
          <w:p w:rsidR="004B6EE0" w:rsidRPr="00470080" w:rsidRDefault="004B6EE0" w:rsidP="00053662">
            <w:pPr>
              <w:jc w:val="center"/>
              <w:rPr>
                <w:sz w:val="20"/>
                <w:szCs w:val="20"/>
              </w:rPr>
            </w:pPr>
            <w:r w:rsidRPr="00470080">
              <w:rPr>
                <w:sz w:val="20"/>
                <w:szCs w:val="20"/>
              </w:rPr>
              <w:t>85 770,0</w:t>
            </w:r>
          </w:p>
        </w:tc>
        <w:tc>
          <w:tcPr>
            <w:tcW w:w="1236" w:type="dxa"/>
            <w:shd w:val="clear" w:color="auto" w:fill="auto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85 375,0</w:t>
            </w:r>
          </w:p>
        </w:tc>
        <w:tc>
          <w:tcPr>
            <w:tcW w:w="1235" w:type="dxa"/>
            <w:shd w:val="clear" w:color="auto" w:fill="auto"/>
          </w:tcPr>
          <w:p w:rsidR="004B6EE0" w:rsidRPr="0081764D" w:rsidRDefault="004B6EE0" w:rsidP="00053662">
            <w:pPr>
              <w:jc w:val="center"/>
              <w:rPr>
                <w:sz w:val="20"/>
                <w:szCs w:val="20"/>
              </w:rPr>
            </w:pPr>
            <w:r w:rsidRPr="0081764D">
              <w:rPr>
                <w:sz w:val="20"/>
                <w:szCs w:val="20"/>
              </w:rPr>
              <w:t>84 950,0</w:t>
            </w:r>
          </w:p>
        </w:tc>
      </w:tr>
      <w:tr w:rsidR="004B6EE0" w:rsidRPr="002551EB" w:rsidTr="00D548CF">
        <w:trPr>
          <w:trHeight w:val="305"/>
        </w:trPr>
        <w:tc>
          <w:tcPr>
            <w:tcW w:w="3686" w:type="dxa"/>
            <w:shd w:val="clear" w:color="auto" w:fill="auto"/>
            <w:vAlign w:val="center"/>
          </w:tcPr>
          <w:p w:rsidR="004B6EE0" w:rsidRPr="00ED0A06" w:rsidRDefault="004B6EE0" w:rsidP="00053662">
            <w:pPr>
              <w:rPr>
                <w:b/>
                <w:i/>
                <w:sz w:val="20"/>
                <w:szCs w:val="20"/>
              </w:rPr>
            </w:pPr>
            <w:r w:rsidRPr="00ED0A06">
              <w:rPr>
                <w:b/>
                <w:i/>
                <w:sz w:val="20"/>
                <w:szCs w:val="20"/>
              </w:rPr>
              <w:t xml:space="preserve">Неналоговые доходы, в </w:t>
            </w:r>
            <w:proofErr w:type="spellStart"/>
            <w:r w:rsidRPr="00ED0A06">
              <w:rPr>
                <w:b/>
                <w:i/>
                <w:sz w:val="20"/>
                <w:szCs w:val="20"/>
              </w:rPr>
              <w:t>т</w:t>
            </w:r>
            <w:proofErr w:type="gramStart"/>
            <w:r w:rsidRPr="00ED0A06">
              <w:rPr>
                <w:b/>
                <w:i/>
                <w:sz w:val="20"/>
                <w:szCs w:val="20"/>
              </w:rPr>
              <w:t>.ч</w:t>
            </w:r>
            <w:proofErr w:type="spellEnd"/>
            <w:proofErr w:type="gramEnd"/>
            <w:r w:rsidRPr="00ED0A06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6E0182" w:rsidRDefault="004B6EE0" w:rsidP="00053662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6E0182">
              <w:rPr>
                <w:b/>
                <w:sz w:val="20"/>
                <w:szCs w:val="20"/>
              </w:rPr>
              <w:t>785 810,9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41DC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0041DC">
              <w:rPr>
                <w:b/>
                <w:sz w:val="20"/>
                <w:szCs w:val="20"/>
              </w:rPr>
              <w:t>646 967,8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470080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470080">
              <w:rPr>
                <w:b/>
                <w:sz w:val="20"/>
                <w:szCs w:val="20"/>
              </w:rPr>
              <w:t>623 414,0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81764D">
              <w:rPr>
                <w:b/>
                <w:sz w:val="20"/>
                <w:szCs w:val="20"/>
              </w:rPr>
              <w:t>611 430,8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81764D" w:rsidRDefault="004B6EE0" w:rsidP="00053662">
            <w:pPr>
              <w:jc w:val="center"/>
              <w:rPr>
                <w:b/>
                <w:sz w:val="20"/>
                <w:szCs w:val="20"/>
              </w:rPr>
            </w:pPr>
            <w:r w:rsidRPr="0081764D">
              <w:rPr>
                <w:b/>
                <w:sz w:val="20"/>
                <w:szCs w:val="20"/>
              </w:rPr>
              <w:t>588 301,7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421 </w:t>
            </w:r>
            <w:r>
              <w:rPr>
                <w:sz w:val="20"/>
                <w:szCs w:val="20"/>
              </w:rPr>
              <w:t>44</w:t>
            </w:r>
            <w:r w:rsidRPr="00015DA2">
              <w:rPr>
                <w:sz w:val="20"/>
                <w:szCs w:val="20"/>
              </w:rPr>
              <w:t>8,0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346 564,4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332 593,8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327 124,6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318 748,2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3A3D1A">
              <w:rPr>
                <w:sz w:val="20"/>
                <w:szCs w:val="20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19 146,6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13 267,7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12 604,4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13 607,0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13 607,0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24 640,6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46 347,3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75 474,5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75 428,7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75 357,3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223 186,7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149 996,7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116 050,1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108 915,0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94 437,1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87 096,2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87 304,8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84 264,2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80 441,6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80 238,2</w:t>
            </w:r>
          </w:p>
        </w:tc>
      </w:tr>
      <w:tr w:rsidR="004B6EE0" w:rsidRPr="002551EB" w:rsidTr="00D548CF">
        <w:tc>
          <w:tcPr>
            <w:tcW w:w="3686" w:type="dxa"/>
            <w:shd w:val="clear" w:color="auto" w:fill="auto"/>
          </w:tcPr>
          <w:p w:rsidR="004B6EE0" w:rsidRPr="00ED0A06" w:rsidRDefault="004B6EE0" w:rsidP="00053662">
            <w:pPr>
              <w:rPr>
                <w:sz w:val="20"/>
                <w:szCs w:val="20"/>
              </w:rPr>
            </w:pPr>
            <w:r w:rsidRPr="00ED0A0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4B6EE0" w:rsidRPr="00015DA2" w:rsidRDefault="004B6EE0" w:rsidP="00053662">
            <w:pPr>
              <w:jc w:val="center"/>
              <w:rPr>
                <w:sz w:val="20"/>
                <w:szCs w:val="20"/>
              </w:rPr>
            </w:pPr>
            <w:r w:rsidRPr="00015DA2">
              <w:rPr>
                <w:sz w:val="20"/>
                <w:szCs w:val="20"/>
              </w:rPr>
              <w:t>10 292,8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B6EE0" w:rsidRPr="000034BB" w:rsidRDefault="004B6EE0" w:rsidP="00053662">
            <w:pPr>
              <w:jc w:val="center"/>
              <w:rPr>
                <w:sz w:val="20"/>
                <w:szCs w:val="20"/>
              </w:rPr>
            </w:pPr>
            <w:r w:rsidRPr="000034BB">
              <w:rPr>
                <w:sz w:val="20"/>
                <w:szCs w:val="20"/>
              </w:rPr>
              <w:t>3 486,9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2 427,0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5 913,9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B6EE0" w:rsidRPr="00746807" w:rsidRDefault="004B6EE0" w:rsidP="00053662">
            <w:pPr>
              <w:jc w:val="center"/>
              <w:rPr>
                <w:sz w:val="20"/>
                <w:szCs w:val="20"/>
              </w:rPr>
            </w:pPr>
            <w:r w:rsidRPr="00746807">
              <w:rPr>
                <w:sz w:val="20"/>
                <w:szCs w:val="20"/>
              </w:rPr>
              <w:t>5 913,9</w:t>
            </w:r>
          </w:p>
        </w:tc>
      </w:tr>
    </w:tbl>
    <w:p w:rsidR="004B6EE0" w:rsidRPr="002551EB" w:rsidRDefault="004B6EE0" w:rsidP="004B6EE0">
      <w:pPr>
        <w:jc w:val="both"/>
        <w:rPr>
          <w:color w:val="0070C0"/>
          <w:sz w:val="20"/>
          <w:szCs w:val="20"/>
          <w:highlight w:val="yellow"/>
        </w:rPr>
      </w:pP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>В соответствии с проектом решения</w:t>
      </w:r>
      <w:r w:rsidRPr="00770207">
        <w:rPr>
          <w:b/>
          <w:sz w:val="25"/>
          <w:szCs w:val="25"/>
        </w:rPr>
        <w:t xml:space="preserve"> </w:t>
      </w:r>
      <w:r w:rsidRPr="00770207">
        <w:rPr>
          <w:sz w:val="25"/>
          <w:szCs w:val="25"/>
        </w:rPr>
        <w:t>собственные доходы городского бюджета на 2018 год и на плановый период 2019 и 2020 годов имеют тенденцию роста к показателю предыдущего года: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 xml:space="preserve">- в 2018 году - на 166 401,6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 или на 3,8% к показателю оценки ожидаемого исполнения за 2017 год; 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t xml:space="preserve">- в 2019 году - на 96 369,9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 или на 2,1% к прогнозу на 2018 год, на 262 771,5 </w:t>
      </w:r>
      <w:proofErr w:type="spellStart"/>
      <w:r w:rsidRPr="00770207">
        <w:rPr>
          <w:sz w:val="25"/>
          <w:szCs w:val="25"/>
        </w:rPr>
        <w:t>тыс.руб</w:t>
      </w:r>
      <w:proofErr w:type="spellEnd"/>
      <w:r w:rsidRPr="00770207">
        <w:rPr>
          <w:sz w:val="25"/>
          <w:szCs w:val="25"/>
        </w:rPr>
        <w:t xml:space="preserve">. или на 6,0% к показателю оценки ожидаемого исполнения за 2017 год; 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sz w:val="25"/>
          <w:szCs w:val="25"/>
        </w:rPr>
        <w:lastRenderedPageBreak/>
        <w:t xml:space="preserve">- в 2020 году - на 106 308,7 </w:t>
      </w:r>
      <w:proofErr w:type="spellStart"/>
      <w:r w:rsidRPr="00770207">
        <w:rPr>
          <w:sz w:val="25"/>
          <w:szCs w:val="25"/>
        </w:rPr>
        <w:t>тыс</w:t>
      </w:r>
      <w:proofErr w:type="gramStart"/>
      <w:r w:rsidRPr="00770207">
        <w:rPr>
          <w:sz w:val="25"/>
          <w:szCs w:val="25"/>
        </w:rPr>
        <w:t>.р</w:t>
      </w:r>
      <w:proofErr w:type="gramEnd"/>
      <w:r w:rsidRPr="00770207">
        <w:rPr>
          <w:sz w:val="25"/>
          <w:szCs w:val="25"/>
        </w:rPr>
        <w:t>уб</w:t>
      </w:r>
      <w:proofErr w:type="spellEnd"/>
      <w:r w:rsidRPr="00770207">
        <w:rPr>
          <w:sz w:val="25"/>
          <w:szCs w:val="25"/>
        </w:rPr>
        <w:t xml:space="preserve">. или на 2,3% к прогнозу на 2019 год, на 369 080,2  </w:t>
      </w:r>
      <w:proofErr w:type="spellStart"/>
      <w:r w:rsidRPr="00770207">
        <w:rPr>
          <w:sz w:val="25"/>
          <w:szCs w:val="25"/>
        </w:rPr>
        <w:t>тыс.руб</w:t>
      </w:r>
      <w:proofErr w:type="spellEnd"/>
      <w:r w:rsidRPr="00770207">
        <w:rPr>
          <w:sz w:val="25"/>
          <w:szCs w:val="25"/>
        </w:rPr>
        <w:t>. или на 8,5% к показателю оценки ожидаемого исполнения за 2017 год.</w:t>
      </w:r>
    </w:p>
    <w:p w:rsidR="004B6EE0" w:rsidRPr="00053662" w:rsidRDefault="004B6EE0" w:rsidP="004B6EE0">
      <w:pPr>
        <w:ind w:firstLine="567"/>
        <w:jc w:val="both"/>
        <w:rPr>
          <w:color w:val="FF0000"/>
          <w:sz w:val="16"/>
          <w:szCs w:val="16"/>
        </w:rPr>
      </w:pP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b/>
          <w:sz w:val="25"/>
          <w:szCs w:val="25"/>
          <w:lang w:eastAsia="en-US"/>
        </w:rPr>
        <w:t>3.2. Налоговые доходы</w:t>
      </w:r>
    </w:p>
    <w:p w:rsidR="004B6EE0" w:rsidRPr="00770207" w:rsidRDefault="004B6EE0" w:rsidP="004B6EE0">
      <w:pPr>
        <w:ind w:firstLine="567"/>
        <w:jc w:val="both"/>
        <w:rPr>
          <w:sz w:val="25"/>
          <w:szCs w:val="25"/>
        </w:rPr>
      </w:pPr>
      <w:r w:rsidRPr="00770207">
        <w:rPr>
          <w:rFonts w:eastAsiaTheme="minorHAnsi"/>
          <w:sz w:val="25"/>
          <w:szCs w:val="25"/>
          <w:lang w:eastAsia="en-US"/>
        </w:rPr>
        <w:t xml:space="preserve">Согласно проекту решения налоговые доходы в 2018 году составят 3 910 785,1 </w:t>
      </w:r>
      <w:proofErr w:type="spellStart"/>
      <w:r w:rsidRPr="00770207">
        <w:rPr>
          <w:rFonts w:eastAsiaTheme="minorHAnsi"/>
          <w:sz w:val="25"/>
          <w:szCs w:val="25"/>
          <w:lang w:eastAsia="en-US"/>
        </w:rPr>
        <w:t>тыс</w:t>
      </w:r>
      <w:proofErr w:type="gramStart"/>
      <w:r w:rsidRPr="00770207">
        <w:rPr>
          <w:rFonts w:eastAsiaTheme="minorHAnsi"/>
          <w:sz w:val="25"/>
          <w:szCs w:val="25"/>
          <w:lang w:eastAsia="en-US"/>
        </w:rPr>
        <w:t>.р</w:t>
      </w:r>
      <w:proofErr w:type="gramEnd"/>
      <w:r w:rsidRPr="00770207">
        <w:rPr>
          <w:rFonts w:eastAsiaTheme="minorHAnsi"/>
          <w:sz w:val="25"/>
          <w:szCs w:val="25"/>
          <w:lang w:eastAsia="en-US"/>
        </w:rPr>
        <w:t>уб</w:t>
      </w:r>
      <w:proofErr w:type="spellEnd"/>
      <w:r w:rsidRPr="00770207">
        <w:rPr>
          <w:rFonts w:eastAsiaTheme="minorHAnsi"/>
          <w:sz w:val="25"/>
          <w:szCs w:val="25"/>
          <w:lang w:eastAsia="en-US"/>
        </w:rPr>
        <w:t>. или 86,3 % объема собственных доходов и 47,6% прогнозируемого общего объема доходов городского бюджета.</w:t>
      </w:r>
      <w:r w:rsidRPr="00770207">
        <w:rPr>
          <w:rFonts w:eastAsiaTheme="minorHAnsi"/>
          <w:color w:val="0070C0"/>
          <w:sz w:val="25"/>
          <w:szCs w:val="25"/>
          <w:lang w:eastAsia="en-US"/>
        </w:rPr>
        <w:t xml:space="preserve"> </w:t>
      </w:r>
      <w:r w:rsidRPr="00770207">
        <w:rPr>
          <w:sz w:val="25"/>
          <w:szCs w:val="25"/>
          <w:lang w:eastAsia="en-US"/>
        </w:rPr>
        <w:t>Наибольший удельный вес в структуре налоговых доходов занимает налог на доходы физических лиц (79,3%), единый налог на вмененный доход (10,0%) и земельный налог (3,8%). Структура налоговых поступлений в разрезе видов доходов представлена ниже на диаграмме.</w:t>
      </w:r>
    </w:p>
    <w:p w:rsidR="004B6EE0" w:rsidRPr="00770207" w:rsidRDefault="004B6EE0" w:rsidP="004B6EE0">
      <w:pPr>
        <w:keepNext/>
        <w:keepLines/>
        <w:tabs>
          <w:tab w:val="num" w:pos="-142"/>
        </w:tabs>
        <w:ind w:firstLine="567"/>
        <w:jc w:val="both"/>
        <w:outlineLvl w:val="2"/>
        <w:rPr>
          <w:color w:val="0070C0"/>
          <w:sz w:val="25"/>
          <w:szCs w:val="25"/>
          <w:lang w:eastAsia="en-US"/>
        </w:rPr>
      </w:pPr>
    </w:p>
    <w:p w:rsidR="004B6EE0" w:rsidRPr="007C7A81" w:rsidRDefault="004B6EE0" w:rsidP="004B6EE0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lang w:eastAsia="en-US"/>
        </w:rPr>
      </w:pPr>
      <w:r w:rsidRPr="007C7A81">
        <w:rPr>
          <w:b/>
          <w:i/>
          <w:lang w:eastAsia="en-US"/>
        </w:rPr>
        <w:t>Структура налоговых поступлений в разрезе видов доходов</w:t>
      </w:r>
    </w:p>
    <w:p w:rsidR="004B6EE0" w:rsidRPr="002551EB" w:rsidRDefault="004B6EE0" w:rsidP="004B6EE0">
      <w:pPr>
        <w:keepNext/>
        <w:keepLines/>
        <w:tabs>
          <w:tab w:val="num" w:pos="-142"/>
        </w:tabs>
        <w:ind w:firstLine="567"/>
        <w:jc w:val="center"/>
        <w:outlineLvl w:val="2"/>
        <w:rPr>
          <w:b/>
          <w:i/>
          <w:color w:val="0070C0"/>
          <w:sz w:val="25"/>
          <w:szCs w:val="25"/>
          <w:lang w:eastAsia="en-US"/>
        </w:rPr>
      </w:pPr>
    </w:p>
    <w:p w:rsidR="004B6EE0" w:rsidRDefault="004B6EE0" w:rsidP="004B6EE0">
      <w:pPr>
        <w:autoSpaceDE w:val="0"/>
        <w:autoSpaceDN w:val="0"/>
        <w:adjustRightInd w:val="0"/>
        <w:ind w:firstLine="567"/>
        <w:jc w:val="both"/>
        <w:rPr>
          <w:color w:val="0070C0"/>
          <w:sz w:val="25"/>
          <w:szCs w:val="25"/>
          <w:lang w:eastAsia="en-US"/>
        </w:rPr>
      </w:pPr>
      <w:r>
        <w:rPr>
          <w:noProof/>
        </w:rPr>
        <w:drawing>
          <wp:inline distT="0" distB="0" distL="0" distR="0" wp14:anchorId="61481603" wp14:editId="25814A08">
            <wp:extent cx="4572000" cy="2512612"/>
            <wp:effectExtent l="0" t="0" r="19050" b="215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6EE0" w:rsidRDefault="004B6EE0" w:rsidP="004B6EE0">
      <w:pPr>
        <w:autoSpaceDE w:val="0"/>
        <w:autoSpaceDN w:val="0"/>
        <w:adjustRightInd w:val="0"/>
        <w:ind w:firstLine="567"/>
        <w:jc w:val="both"/>
        <w:rPr>
          <w:color w:val="0070C0"/>
          <w:sz w:val="25"/>
          <w:szCs w:val="25"/>
          <w:lang w:eastAsia="en-US"/>
        </w:rPr>
      </w:pPr>
    </w:p>
    <w:p w:rsidR="004B6EE0" w:rsidRPr="00053662" w:rsidRDefault="004B6EE0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 xml:space="preserve">Налоговые доходы на 2018 год прогнозируются с ростом: к оценке поступлений за 2017 год - на 189 955,4 </w:t>
      </w:r>
      <w:proofErr w:type="spellStart"/>
      <w:r w:rsidRPr="00053662">
        <w:rPr>
          <w:sz w:val="25"/>
          <w:szCs w:val="25"/>
          <w:lang w:eastAsia="en-US"/>
        </w:rPr>
        <w:t>тыс</w:t>
      </w:r>
      <w:proofErr w:type="gramStart"/>
      <w:r w:rsidRPr="00053662">
        <w:rPr>
          <w:sz w:val="25"/>
          <w:szCs w:val="25"/>
          <w:lang w:eastAsia="en-US"/>
        </w:rPr>
        <w:t>.р</w:t>
      </w:r>
      <w:proofErr w:type="gramEnd"/>
      <w:r w:rsidRPr="00053662">
        <w:rPr>
          <w:sz w:val="25"/>
          <w:szCs w:val="25"/>
          <w:lang w:eastAsia="en-US"/>
        </w:rPr>
        <w:t>уб</w:t>
      </w:r>
      <w:proofErr w:type="spellEnd"/>
      <w:r w:rsidRPr="00053662">
        <w:rPr>
          <w:sz w:val="25"/>
          <w:szCs w:val="25"/>
          <w:lang w:eastAsia="en-US"/>
        </w:rPr>
        <w:t xml:space="preserve">. или на 5,1%, к отчетным данным 2016 года - на 420 531,1 </w:t>
      </w:r>
      <w:proofErr w:type="spellStart"/>
      <w:r w:rsidRPr="00053662">
        <w:rPr>
          <w:sz w:val="25"/>
          <w:szCs w:val="25"/>
          <w:lang w:eastAsia="en-US"/>
        </w:rPr>
        <w:t>тыс.руб</w:t>
      </w:r>
      <w:proofErr w:type="spellEnd"/>
      <w:r w:rsidRPr="00053662">
        <w:rPr>
          <w:sz w:val="25"/>
          <w:szCs w:val="25"/>
          <w:lang w:eastAsia="en-US"/>
        </w:rPr>
        <w:t xml:space="preserve">. или на 12,0%. Увеличение налоговых доходов городского бюджета на 2018 год, относительно оценки поступлений на 2017 год, ожидается, в основном, за счет планируемого роста поступлений по двум </w:t>
      </w:r>
      <w:proofErr w:type="spellStart"/>
      <w:r w:rsidRPr="00053662">
        <w:rPr>
          <w:sz w:val="25"/>
          <w:szCs w:val="25"/>
          <w:lang w:eastAsia="en-US"/>
        </w:rPr>
        <w:t>бюджетообразующим</w:t>
      </w:r>
      <w:proofErr w:type="spellEnd"/>
      <w:r w:rsidRPr="00053662">
        <w:rPr>
          <w:sz w:val="25"/>
          <w:szCs w:val="25"/>
          <w:lang w:eastAsia="en-US"/>
        </w:rPr>
        <w:t xml:space="preserve"> доходным источникам: налогу на имущество физических лиц и налогу на доходы физических лиц, что соответствует динамике последних лет. Так, по налогу на имущество физических лиц в 2016 и 2017 годах рост поступлений к показателю предыдущего года  составлял 3,2% и 36,1%, соответственно:</w:t>
      </w:r>
      <w:r w:rsidRPr="00053662">
        <w:rPr>
          <w:color w:val="FF0000"/>
          <w:sz w:val="25"/>
          <w:szCs w:val="25"/>
          <w:lang w:eastAsia="en-US"/>
        </w:rPr>
        <w:t xml:space="preserve"> </w:t>
      </w:r>
      <w:r w:rsidRPr="00053662">
        <w:rPr>
          <w:sz w:val="25"/>
          <w:szCs w:val="25"/>
          <w:lang w:eastAsia="en-US"/>
        </w:rPr>
        <w:t>по налогу на доходы физических лиц – 0,4% и 10,2%, соответственно. Основной объем прогнозируемого на 2018 год прироста налоговых доходов обеспечивается за счет налога на доходы физических лиц, доля которого в общем объеме прироста налоговых доходов к показателю оценки на 2017 год составляет 87,5%.</w:t>
      </w:r>
    </w:p>
    <w:p w:rsidR="004B6EE0" w:rsidRPr="00053662" w:rsidRDefault="004B6EE0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>Проектом решения на 2018 год прогнозируемый рост поступлений налоговых доходов к оценке поступлений за 2017 год предусмотрен по всем видам налоговых доходов, за исключением земельного налога (прогнозные данные соответствуют данным оценке и составляют 150 000,0 тыс. руб.) и государственной пошлины (объем поступлений которой к показателю оценки за 20</w:t>
      </w:r>
      <w:r w:rsidR="0055785B">
        <w:rPr>
          <w:sz w:val="25"/>
          <w:szCs w:val="25"/>
          <w:lang w:eastAsia="en-US"/>
        </w:rPr>
        <w:t xml:space="preserve">17 год сократился на 923,6 </w:t>
      </w:r>
      <w:proofErr w:type="spellStart"/>
      <w:r w:rsidR="0055785B">
        <w:rPr>
          <w:sz w:val="25"/>
          <w:szCs w:val="25"/>
          <w:lang w:eastAsia="en-US"/>
        </w:rPr>
        <w:t>тыс</w:t>
      </w:r>
      <w:proofErr w:type="gramStart"/>
      <w:r w:rsidR="0055785B">
        <w:rPr>
          <w:sz w:val="25"/>
          <w:szCs w:val="25"/>
          <w:lang w:eastAsia="en-US"/>
        </w:rPr>
        <w:t>.</w:t>
      </w:r>
      <w:r w:rsidRPr="00053662">
        <w:rPr>
          <w:sz w:val="25"/>
          <w:szCs w:val="25"/>
          <w:lang w:eastAsia="en-US"/>
        </w:rPr>
        <w:t>р</w:t>
      </w:r>
      <w:proofErr w:type="gramEnd"/>
      <w:r w:rsidRPr="00053662">
        <w:rPr>
          <w:sz w:val="25"/>
          <w:szCs w:val="25"/>
          <w:lang w:eastAsia="en-US"/>
        </w:rPr>
        <w:t>уб</w:t>
      </w:r>
      <w:proofErr w:type="spellEnd"/>
      <w:r w:rsidRPr="00053662">
        <w:rPr>
          <w:sz w:val="25"/>
          <w:szCs w:val="25"/>
          <w:lang w:eastAsia="en-US"/>
        </w:rPr>
        <w:t xml:space="preserve">.). </w:t>
      </w:r>
    </w:p>
    <w:p w:rsidR="004B6EE0" w:rsidRPr="00053662" w:rsidRDefault="004B6EE0" w:rsidP="004B6EE0">
      <w:pPr>
        <w:keepNext/>
        <w:keepLines/>
        <w:tabs>
          <w:tab w:val="num" w:pos="-142"/>
        </w:tabs>
        <w:ind w:firstLine="567"/>
        <w:outlineLvl w:val="2"/>
        <w:rPr>
          <w:b/>
          <w:color w:val="0070C0"/>
          <w:sz w:val="16"/>
          <w:szCs w:val="16"/>
          <w:lang w:eastAsia="en-US"/>
        </w:rPr>
      </w:pPr>
    </w:p>
    <w:p w:rsidR="004B6EE0" w:rsidRPr="00053662" w:rsidRDefault="004B6EE0" w:rsidP="004B6EE0">
      <w:pPr>
        <w:keepNext/>
        <w:keepLines/>
        <w:tabs>
          <w:tab w:val="num" w:pos="-142"/>
        </w:tabs>
        <w:ind w:firstLine="567"/>
        <w:outlineLvl w:val="2"/>
        <w:rPr>
          <w:b/>
          <w:i/>
          <w:sz w:val="25"/>
          <w:szCs w:val="25"/>
          <w:lang w:eastAsia="en-US"/>
        </w:rPr>
      </w:pPr>
      <w:r w:rsidRPr="00053662">
        <w:rPr>
          <w:b/>
          <w:i/>
          <w:sz w:val="25"/>
          <w:szCs w:val="25"/>
          <w:lang w:eastAsia="en-US"/>
        </w:rPr>
        <w:t>Налог на доходы физических лиц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</w:rPr>
      </w:pPr>
      <w:r w:rsidRPr="00053662">
        <w:rPr>
          <w:sz w:val="25"/>
          <w:szCs w:val="25"/>
        </w:rPr>
        <w:t xml:space="preserve">Основным источником собственных доходов городского бюджета на 2018 год и на плановый период 2019 и 2020 годов остается налог на доходы физических лиц (далее – НДФЛ) с удельным весом в объеме налоговых и неналоговых поступлений  68,4% - в 2018 году, 68,8% - в 2019 году и 69,5% - в 2020 году. 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</w:rPr>
      </w:pPr>
      <w:r w:rsidRPr="00053662">
        <w:rPr>
          <w:sz w:val="25"/>
          <w:szCs w:val="25"/>
        </w:rPr>
        <w:lastRenderedPageBreak/>
        <w:t xml:space="preserve">На 2018 год поступление НДФЛ прогнозируется в сумме 3 101 379,6 </w:t>
      </w:r>
      <w:proofErr w:type="spellStart"/>
      <w:r w:rsidRPr="00053662">
        <w:rPr>
          <w:sz w:val="25"/>
          <w:szCs w:val="25"/>
        </w:rPr>
        <w:t>тыс</w:t>
      </w:r>
      <w:proofErr w:type="gramStart"/>
      <w:r w:rsidRPr="00053662">
        <w:rPr>
          <w:sz w:val="25"/>
          <w:szCs w:val="25"/>
        </w:rPr>
        <w:t>.р</w:t>
      </w:r>
      <w:proofErr w:type="gramEnd"/>
      <w:r w:rsidRPr="00053662">
        <w:rPr>
          <w:sz w:val="25"/>
          <w:szCs w:val="25"/>
        </w:rPr>
        <w:t>уб</w:t>
      </w:r>
      <w:proofErr w:type="spellEnd"/>
      <w:r w:rsidRPr="00053662">
        <w:rPr>
          <w:sz w:val="25"/>
          <w:szCs w:val="25"/>
        </w:rPr>
        <w:t xml:space="preserve">., что к оценке поступления за 2017 год (2 935 102,5 </w:t>
      </w:r>
      <w:proofErr w:type="spellStart"/>
      <w:r w:rsidRPr="00053662">
        <w:rPr>
          <w:sz w:val="25"/>
          <w:szCs w:val="25"/>
        </w:rPr>
        <w:t>тыс.руб</w:t>
      </w:r>
      <w:proofErr w:type="spellEnd"/>
      <w:r w:rsidRPr="00053662">
        <w:rPr>
          <w:sz w:val="25"/>
          <w:szCs w:val="25"/>
        </w:rPr>
        <w:t xml:space="preserve">.) составляет 105,7%,  на 2019 год – 3 184 659,5  </w:t>
      </w:r>
      <w:proofErr w:type="spellStart"/>
      <w:r w:rsidRPr="00053662">
        <w:rPr>
          <w:sz w:val="25"/>
          <w:szCs w:val="25"/>
        </w:rPr>
        <w:t>тыс.руб</w:t>
      </w:r>
      <w:proofErr w:type="spellEnd"/>
      <w:r w:rsidRPr="00053662">
        <w:rPr>
          <w:sz w:val="25"/>
          <w:szCs w:val="25"/>
        </w:rPr>
        <w:t xml:space="preserve">.  или 102,7%  к  аналогичному  показателю  2018  года,  на 2020 год – 3 290 571,3 </w:t>
      </w:r>
      <w:proofErr w:type="spellStart"/>
      <w:r w:rsidRPr="00053662">
        <w:rPr>
          <w:sz w:val="25"/>
          <w:szCs w:val="25"/>
        </w:rPr>
        <w:t>тыс.руб</w:t>
      </w:r>
      <w:proofErr w:type="spellEnd"/>
      <w:r w:rsidRPr="00053662">
        <w:rPr>
          <w:sz w:val="25"/>
          <w:szCs w:val="25"/>
        </w:rPr>
        <w:t xml:space="preserve">. или 103,3% к аналогичному показателю 2019 года. 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</w:rPr>
      </w:pPr>
      <w:proofErr w:type="gramStart"/>
      <w:r w:rsidRPr="00053662">
        <w:rPr>
          <w:sz w:val="25"/>
          <w:szCs w:val="25"/>
        </w:rPr>
        <w:t>Рост ожидаемых поступлений НДФЛ в бюджетном цикле 2018-2020 годов связан с прогнозируемым согласно данным Прогноза социально-экономического развития муниципального образования «Город Архангельск» на 2018 год и на плановый период 2019 и 2020 годов увеличением фонда начисленной заработной платы работников организаций в 2018 году на 5,8% к данным оценки на 2017 год, в 2019 году и 2020 году - по 3,5%, соответственно, к</w:t>
      </w:r>
      <w:proofErr w:type="gramEnd"/>
      <w:r w:rsidRPr="00053662">
        <w:rPr>
          <w:sz w:val="25"/>
          <w:szCs w:val="25"/>
        </w:rPr>
        <w:t xml:space="preserve"> прогнозным данным на 2018 год и 2019 год. </w:t>
      </w:r>
    </w:p>
    <w:p w:rsidR="004B6EE0" w:rsidRPr="00053662" w:rsidRDefault="004B6EE0" w:rsidP="004B6EE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053662">
        <w:rPr>
          <w:sz w:val="25"/>
          <w:szCs w:val="25"/>
        </w:rPr>
        <w:t>В связи с принятием Архангельской городской Думой решения от 25.10.2017 №585 «О замене дотации на выравнивание бюджетной обеспеченности поселений из областного бюджета дополнительным нормативом отчислений от налога на доходы физических лиц на 2018-2020 годы» о с</w:t>
      </w:r>
      <w:r w:rsidRPr="00053662">
        <w:rPr>
          <w:rFonts w:eastAsiaTheme="minorHAnsi"/>
          <w:sz w:val="25"/>
          <w:szCs w:val="25"/>
          <w:lang w:eastAsia="en-US"/>
        </w:rPr>
        <w:t>огласии с заменой дотации на выравнивание бюджетной обеспеченности поселений из областного бюджета дополнительным нормативом отчислений в бюджет муниципального образования «Город Архангельск» от налога на доходы</w:t>
      </w:r>
      <w:proofErr w:type="gramEnd"/>
      <w:r w:rsidRPr="00053662">
        <w:rPr>
          <w:rFonts w:eastAsiaTheme="minorHAnsi"/>
          <w:sz w:val="25"/>
          <w:szCs w:val="25"/>
          <w:lang w:eastAsia="en-US"/>
        </w:rPr>
        <w:t xml:space="preserve"> </w:t>
      </w:r>
      <w:proofErr w:type="gramStart"/>
      <w:r w:rsidRPr="00053662">
        <w:rPr>
          <w:rFonts w:eastAsiaTheme="minorHAnsi"/>
          <w:sz w:val="25"/>
          <w:szCs w:val="25"/>
          <w:lang w:eastAsia="en-US"/>
        </w:rPr>
        <w:t>физических лиц на 2018 - 2020 годы п</w:t>
      </w:r>
      <w:r w:rsidRPr="00053662">
        <w:rPr>
          <w:sz w:val="25"/>
          <w:szCs w:val="25"/>
        </w:rPr>
        <w:t>ри расчете объема поступлений НДФЛ применен дополнительный норматив отчислений в городской бюджет на 2018 год в размере 1,11%, что согласно проекту областного закона «Об областном бюджете на 2018 год и на плановый период 2019 и 2020 годов» соответствует установленному для муниципального образования «Город Архангельск» размеру дополнительного норматива отчислений от НДФЛ, заменяющего дотацию в бюджеты</w:t>
      </w:r>
      <w:proofErr w:type="gramEnd"/>
      <w:r w:rsidRPr="00053662">
        <w:rPr>
          <w:sz w:val="25"/>
          <w:szCs w:val="25"/>
        </w:rPr>
        <w:t xml:space="preserve"> городских округов.</w:t>
      </w:r>
      <w:r w:rsidRPr="00053662">
        <w:rPr>
          <w:color w:val="FF0000"/>
          <w:sz w:val="25"/>
          <w:szCs w:val="25"/>
        </w:rPr>
        <w:t xml:space="preserve"> </w:t>
      </w:r>
      <w:r w:rsidRPr="00053662">
        <w:rPr>
          <w:sz w:val="25"/>
          <w:szCs w:val="25"/>
        </w:rPr>
        <w:t>При расчете объема поступлений НДФЛ на плановый период 2019 и 2020 годов применен дополнительный норматив отчислений в городской бюджет, соответственно, в размере 0,85% и 0,8%.</w:t>
      </w:r>
    </w:p>
    <w:p w:rsidR="004B6EE0" w:rsidRPr="00053662" w:rsidRDefault="004B6EE0" w:rsidP="004B6EE0">
      <w:pPr>
        <w:ind w:firstLine="567"/>
        <w:jc w:val="both"/>
        <w:rPr>
          <w:b/>
          <w:bCs/>
          <w:i/>
          <w:iCs/>
          <w:sz w:val="16"/>
          <w:szCs w:val="16"/>
        </w:rPr>
      </w:pPr>
    </w:p>
    <w:p w:rsidR="004B6EE0" w:rsidRPr="00053662" w:rsidRDefault="004B6EE0" w:rsidP="004B6EE0">
      <w:pPr>
        <w:ind w:firstLine="567"/>
        <w:jc w:val="both"/>
        <w:rPr>
          <w:b/>
          <w:i/>
          <w:iCs/>
          <w:sz w:val="25"/>
          <w:szCs w:val="25"/>
        </w:rPr>
      </w:pPr>
      <w:r w:rsidRPr="00053662">
        <w:rPr>
          <w:b/>
          <w:bCs/>
          <w:i/>
          <w:iCs/>
          <w:sz w:val="25"/>
          <w:szCs w:val="25"/>
        </w:rPr>
        <w:t>Акцизы на автомобильный бензин, прямогонный бензин,</w:t>
      </w:r>
      <w:r w:rsidRPr="00053662">
        <w:rPr>
          <w:b/>
          <w:i/>
          <w:iCs/>
          <w:sz w:val="25"/>
          <w:szCs w:val="25"/>
        </w:rPr>
        <w:t xml:space="preserve"> дизельное топливо, моторные масла для дизельных и (или) карбюраторных (</w:t>
      </w:r>
      <w:proofErr w:type="spellStart"/>
      <w:r w:rsidRPr="00053662">
        <w:rPr>
          <w:b/>
          <w:i/>
          <w:iCs/>
          <w:sz w:val="25"/>
          <w:szCs w:val="25"/>
        </w:rPr>
        <w:t>инжекторных</w:t>
      </w:r>
      <w:proofErr w:type="spellEnd"/>
      <w:r w:rsidRPr="00053662">
        <w:rPr>
          <w:b/>
          <w:i/>
          <w:iCs/>
          <w:sz w:val="25"/>
          <w:szCs w:val="25"/>
        </w:rPr>
        <w:t>) двигателей, производимые на территории Российской Федерации</w:t>
      </w:r>
    </w:p>
    <w:p w:rsidR="004B6EE0" w:rsidRPr="00053662" w:rsidRDefault="004B6EE0" w:rsidP="004B6EE0">
      <w:pPr>
        <w:suppressAutoHyphens/>
        <w:ind w:firstLine="567"/>
        <w:contextualSpacing/>
        <w:jc w:val="both"/>
        <w:rPr>
          <w:color w:val="0070C0"/>
          <w:sz w:val="25"/>
          <w:szCs w:val="25"/>
        </w:rPr>
      </w:pPr>
      <w:r w:rsidRPr="00053662">
        <w:rPr>
          <w:sz w:val="25"/>
          <w:szCs w:val="25"/>
        </w:rPr>
        <w:t>Поступление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Федерации, в городской бюджет на 2018 год запланировано в объеме 14 635,5 </w:t>
      </w:r>
      <w:proofErr w:type="spellStart"/>
      <w:r w:rsidRPr="00053662">
        <w:rPr>
          <w:sz w:val="25"/>
          <w:szCs w:val="25"/>
        </w:rPr>
        <w:t>тыс</w:t>
      </w:r>
      <w:proofErr w:type="gramStart"/>
      <w:r w:rsidRPr="00053662">
        <w:rPr>
          <w:sz w:val="25"/>
          <w:szCs w:val="25"/>
        </w:rPr>
        <w:t>.р</w:t>
      </w:r>
      <w:proofErr w:type="gramEnd"/>
      <w:r w:rsidRPr="00053662">
        <w:rPr>
          <w:sz w:val="25"/>
          <w:szCs w:val="25"/>
        </w:rPr>
        <w:t>уб</w:t>
      </w:r>
      <w:proofErr w:type="spellEnd"/>
      <w:r w:rsidRPr="00053662">
        <w:rPr>
          <w:sz w:val="25"/>
          <w:szCs w:val="25"/>
        </w:rPr>
        <w:t xml:space="preserve">., что на 451,9 </w:t>
      </w:r>
      <w:proofErr w:type="spellStart"/>
      <w:r w:rsidRPr="00053662">
        <w:rPr>
          <w:sz w:val="25"/>
          <w:szCs w:val="25"/>
        </w:rPr>
        <w:t>тыс.руб</w:t>
      </w:r>
      <w:proofErr w:type="spellEnd"/>
      <w:r w:rsidRPr="00053662">
        <w:rPr>
          <w:sz w:val="25"/>
          <w:szCs w:val="25"/>
        </w:rPr>
        <w:t>. или на 3,2% превышает аналогичный показатель по оценке за 2017 год.</w:t>
      </w:r>
      <w:r w:rsidRPr="00053662">
        <w:rPr>
          <w:color w:val="0070C0"/>
          <w:sz w:val="25"/>
          <w:szCs w:val="25"/>
        </w:rPr>
        <w:t xml:space="preserve"> </w:t>
      </w:r>
      <w:r w:rsidRPr="00053662">
        <w:rPr>
          <w:sz w:val="25"/>
          <w:szCs w:val="25"/>
        </w:rPr>
        <w:t>Согласно данным прогноза увеличение в 2018 году объема поступлений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Федерации, связано с прогнозируемым увеличением доходов от уплаты акцизов на нефтепродукты в консолидированный бюджет Архангельской области на 4,8% (с 2 752 493,7 </w:t>
      </w:r>
      <w:proofErr w:type="spellStart"/>
      <w:r w:rsidRPr="00053662">
        <w:rPr>
          <w:sz w:val="25"/>
          <w:szCs w:val="25"/>
        </w:rPr>
        <w:t>тыс</w:t>
      </w:r>
      <w:proofErr w:type="gramStart"/>
      <w:r w:rsidRPr="00053662">
        <w:rPr>
          <w:sz w:val="25"/>
          <w:szCs w:val="25"/>
        </w:rPr>
        <w:t>.р</w:t>
      </w:r>
      <w:proofErr w:type="gramEnd"/>
      <w:r w:rsidRPr="00053662">
        <w:rPr>
          <w:sz w:val="25"/>
          <w:szCs w:val="25"/>
        </w:rPr>
        <w:t>уб</w:t>
      </w:r>
      <w:proofErr w:type="spellEnd"/>
      <w:r w:rsidRPr="00053662">
        <w:rPr>
          <w:sz w:val="25"/>
          <w:szCs w:val="25"/>
        </w:rPr>
        <w:t xml:space="preserve">. в 2017 году до 2 883 322,0 </w:t>
      </w:r>
      <w:proofErr w:type="spellStart"/>
      <w:r w:rsidRPr="00053662">
        <w:rPr>
          <w:sz w:val="25"/>
          <w:szCs w:val="25"/>
        </w:rPr>
        <w:t>тыс</w:t>
      </w:r>
      <w:proofErr w:type="gramStart"/>
      <w:r w:rsidRPr="00053662">
        <w:rPr>
          <w:sz w:val="25"/>
          <w:szCs w:val="25"/>
        </w:rPr>
        <w:t>.р</w:t>
      </w:r>
      <w:proofErr w:type="gramEnd"/>
      <w:r w:rsidRPr="00053662">
        <w:rPr>
          <w:sz w:val="25"/>
          <w:szCs w:val="25"/>
        </w:rPr>
        <w:t>уб</w:t>
      </w:r>
      <w:proofErr w:type="spellEnd"/>
      <w:r w:rsidRPr="00053662">
        <w:rPr>
          <w:sz w:val="25"/>
          <w:szCs w:val="25"/>
        </w:rPr>
        <w:t xml:space="preserve">. в 2018 году) при одновременном снижении дифференцированного норматива отчислений в городской бюджет с 0,51023% в 2017 году до 0,50759% в 2018 году. </w:t>
      </w:r>
    </w:p>
    <w:p w:rsidR="004B6EE0" w:rsidRPr="00053662" w:rsidRDefault="004B6EE0" w:rsidP="004B6EE0">
      <w:pPr>
        <w:suppressAutoHyphens/>
        <w:ind w:firstLine="567"/>
        <w:contextualSpacing/>
        <w:jc w:val="both"/>
        <w:rPr>
          <w:sz w:val="25"/>
          <w:szCs w:val="25"/>
        </w:rPr>
      </w:pPr>
      <w:r w:rsidRPr="00053662">
        <w:rPr>
          <w:sz w:val="25"/>
          <w:szCs w:val="25"/>
        </w:rPr>
        <w:t>На плановый период 2018 и 2019 годов прогноз поступлений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Федерации, рассчитан исходя из дифференцированного норматива 0,50759% и составляет в 2019 году – 15 403,7 </w:t>
      </w:r>
      <w:proofErr w:type="spellStart"/>
      <w:r w:rsidRPr="00053662">
        <w:rPr>
          <w:sz w:val="25"/>
          <w:szCs w:val="25"/>
        </w:rPr>
        <w:t>тыс</w:t>
      </w:r>
      <w:proofErr w:type="gramStart"/>
      <w:r w:rsidRPr="00053662">
        <w:rPr>
          <w:sz w:val="25"/>
          <w:szCs w:val="25"/>
        </w:rPr>
        <w:t>.р</w:t>
      </w:r>
      <w:proofErr w:type="gramEnd"/>
      <w:r w:rsidRPr="00053662">
        <w:rPr>
          <w:sz w:val="25"/>
          <w:szCs w:val="25"/>
        </w:rPr>
        <w:t>уб</w:t>
      </w:r>
      <w:proofErr w:type="spellEnd"/>
      <w:r w:rsidRPr="00053662">
        <w:rPr>
          <w:sz w:val="25"/>
          <w:szCs w:val="25"/>
        </w:rPr>
        <w:t xml:space="preserve">. (105,2% к показателю 2018 год), в 2020 году – 16 254,7 </w:t>
      </w:r>
      <w:proofErr w:type="spellStart"/>
      <w:r w:rsidRPr="00053662">
        <w:rPr>
          <w:sz w:val="25"/>
          <w:szCs w:val="25"/>
        </w:rPr>
        <w:t>тыс.руб</w:t>
      </w:r>
      <w:proofErr w:type="spellEnd"/>
      <w:r w:rsidRPr="00053662">
        <w:rPr>
          <w:sz w:val="25"/>
          <w:szCs w:val="25"/>
        </w:rPr>
        <w:t xml:space="preserve">. (105,5% к показателю 2019 года). </w:t>
      </w:r>
    </w:p>
    <w:p w:rsidR="004B6EE0" w:rsidRPr="00053662" w:rsidRDefault="004B6EE0" w:rsidP="004B6EE0">
      <w:pPr>
        <w:suppressAutoHyphens/>
        <w:ind w:firstLine="567"/>
        <w:contextualSpacing/>
        <w:jc w:val="both"/>
        <w:rPr>
          <w:sz w:val="25"/>
          <w:szCs w:val="25"/>
        </w:rPr>
      </w:pPr>
      <w:r w:rsidRPr="00053662">
        <w:rPr>
          <w:sz w:val="25"/>
          <w:szCs w:val="25"/>
        </w:rPr>
        <w:t xml:space="preserve">В соответствии с пунктом 1 статьи 160.1 </w:t>
      </w:r>
      <w:r w:rsidR="00770207" w:rsidRPr="00053662">
        <w:rPr>
          <w:sz w:val="25"/>
          <w:szCs w:val="25"/>
        </w:rPr>
        <w:t>БК</w:t>
      </w:r>
      <w:r w:rsidRPr="00053662">
        <w:rPr>
          <w:sz w:val="25"/>
          <w:szCs w:val="25"/>
        </w:rPr>
        <w:t xml:space="preserve"> РФ главный администратор доходов бюджета обладает бюджетными полномочиями, в том числе по представлению сведений, необходимых для составления проекта бюджета, и утверждению методики прогнозирования поступлений доходов в бюджет.  </w:t>
      </w:r>
    </w:p>
    <w:p w:rsidR="004B6EE0" w:rsidRPr="00053662" w:rsidRDefault="004B6EE0" w:rsidP="004B6EE0">
      <w:pPr>
        <w:suppressAutoHyphens/>
        <w:ind w:firstLine="567"/>
        <w:contextualSpacing/>
        <w:jc w:val="both"/>
        <w:rPr>
          <w:color w:val="0070C0"/>
          <w:sz w:val="25"/>
          <w:szCs w:val="25"/>
        </w:rPr>
      </w:pPr>
      <w:proofErr w:type="gramStart"/>
      <w:r w:rsidRPr="00053662">
        <w:rPr>
          <w:sz w:val="25"/>
          <w:szCs w:val="25"/>
        </w:rPr>
        <w:lastRenderedPageBreak/>
        <w:t>Согласно приложению № 1 «Перечень главных администраторов доходов городского бюджета» к проекту решения главным администратором доходов городского бюджета по доходам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 является Управление </w:t>
      </w:r>
      <w:r w:rsidR="0055785B">
        <w:rPr>
          <w:sz w:val="25"/>
          <w:szCs w:val="25"/>
        </w:rPr>
        <w:t>Ф</w:t>
      </w:r>
      <w:r w:rsidRPr="00053662">
        <w:rPr>
          <w:sz w:val="25"/>
          <w:szCs w:val="25"/>
        </w:rPr>
        <w:t>едерального казначейства по Архангельской области и Ненецкому автономному округу (далее – УФК по Архангельской области и</w:t>
      </w:r>
      <w:proofErr w:type="gramEnd"/>
      <w:r w:rsidRPr="00053662">
        <w:rPr>
          <w:sz w:val="25"/>
          <w:szCs w:val="25"/>
        </w:rPr>
        <w:t xml:space="preserve"> </w:t>
      </w:r>
      <w:proofErr w:type="gramStart"/>
      <w:r w:rsidRPr="00053662">
        <w:rPr>
          <w:sz w:val="25"/>
          <w:szCs w:val="25"/>
        </w:rPr>
        <w:t>НАО).</w:t>
      </w:r>
      <w:proofErr w:type="gramEnd"/>
    </w:p>
    <w:p w:rsidR="004B6EE0" w:rsidRPr="00053662" w:rsidRDefault="004B6EE0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proofErr w:type="gramStart"/>
      <w:r w:rsidRPr="00053662">
        <w:rPr>
          <w:rFonts w:eastAsiaTheme="minorHAnsi"/>
          <w:sz w:val="25"/>
          <w:szCs w:val="25"/>
          <w:lang w:eastAsia="en-US"/>
        </w:rPr>
        <w:t xml:space="preserve">В пояснительной записке к проекту решения указано, что «прогноз </w:t>
      </w:r>
      <w:r w:rsidRPr="00053662">
        <w:rPr>
          <w:sz w:val="25"/>
          <w:szCs w:val="25"/>
        </w:rPr>
        <w:t>поступлений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Федерации, рассчитан исходя из данных министерства финансов Архангельской области…», тогда как в соответствии с вышеуказанными положениями пункта 1 статьи 160.1 </w:t>
      </w:r>
      <w:r w:rsidR="00770207" w:rsidRPr="00053662">
        <w:rPr>
          <w:sz w:val="25"/>
          <w:szCs w:val="25"/>
        </w:rPr>
        <w:t>БК РФ</w:t>
      </w:r>
      <w:r w:rsidRPr="00053662">
        <w:rPr>
          <w:sz w:val="25"/>
          <w:szCs w:val="25"/>
        </w:rPr>
        <w:t xml:space="preserve"> необходимые для составления проекта</w:t>
      </w:r>
      <w:proofErr w:type="gramEnd"/>
      <w:r w:rsidRPr="00053662">
        <w:rPr>
          <w:sz w:val="25"/>
          <w:szCs w:val="25"/>
        </w:rPr>
        <w:t xml:space="preserve"> бюджета сведения о рассчитанном согласно методике прогнозирования объеме поступлений по данному источнику дохода  представляет главный администратор доходов (УФК по Архангельской области и НАО). Такие расчеты и обоснования, представленные в контрольно-счетную палату, не позволяют сделать вывод об обоснованности и реалистичности</w:t>
      </w:r>
      <w:r w:rsidRPr="00053662">
        <w:rPr>
          <w:rFonts w:eastAsiaTheme="minorHAnsi"/>
          <w:bCs/>
          <w:sz w:val="25"/>
          <w:szCs w:val="25"/>
          <w:lang w:eastAsia="en-US"/>
        </w:rPr>
        <w:t xml:space="preserve"> планирования доходов</w:t>
      </w:r>
      <w:r w:rsidRPr="00053662">
        <w:rPr>
          <w:sz w:val="25"/>
          <w:szCs w:val="25"/>
        </w:rPr>
        <w:t xml:space="preserve">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>) двигателей, производимых на территории Российской Федерации</w:t>
      </w:r>
      <w:r w:rsidRPr="00053662">
        <w:rPr>
          <w:rFonts w:eastAsiaTheme="minorHAnsi"/>
          <w:bCs/>
          <w:sz w:val="25"/>
          <w:szCs w:val="25"/>
          <w:lang w:eastAsia="en-US"/>
        </w:rPr>
        <w:t>.</w:t>
      </w:r>
      <w:r w:rsidRPr="00053662">
        <w:rPr>
          <w:sz w:val="25"/>
          <w:szCs w:val="25"/>
        </w:rPr>
        <w:t xml:space="preserve"> </w:t>
      </w:r>
      <w:proofErr w:type="gramStart"/>
      <w:r w:rsidRPr="00053662">
        <w:rPr>
          <w:sz w:val="25"/>
          <w:szCs w:val="25"/>
        </w:rPr>
        <w:t>Данный вывод подтверждается тем фактом, что поступление в 2017 году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 xml:space="preserve">) двигателей, производимых на территории Российской Федерации, оценивается в размере 14 183,6 тыс. руб., что составляет 72,7% от первоначально заложенных в </w:t>
      </w:r>
      <w:r w:rsidRPr="00053662">
        <w:rPr>
          <w:rFonts w:eastAsiaTheme="minorHAnsi"/>
          <w:sz w:val="25"/>
          <w:szCs w:val="25"/>
          <w:lang w:eastAsia="en-US"/>
        </w:rPr>
        <w:t xml:space="preserve">прогнозируемый общий объем доходов городского бюджета на 2017 год поступлений </w:t>
      </w:r>
      <w:r w:rsidRPr="00053662">
        <w:rPr>
          <w:sz w:val="25"/>
          <w:szCs w:val="25"/>
        </w:rPr>
        <w:t>по</w:t>
      </w:r>
      <w:proofErr w:type="gramEnd"/>
      <w:r w:rsidRPr="00053662">
        <w:rPr>
          <w:sz w:val="25"/>
          <w:szCs w:val="25"/>
        </w:rPr>
        <w:t xml:space="preserve"> данному источнику дохода (19 504,0 тыс. руб.),  погрешность в расчете объема поступлений в 2017 году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>) двигателей, производимых на территории Российской Федерации, составила 37,5% ((14 183,6 – 19 504,0)/14 183,6*100%).</w:t>
      </w:r>
    </w:p>
    <w:p w:rsidR="004B6EE0" w:rsidRPr="00053662" w:rsidRDefault="004B6EE0" w:rsidP="004B6E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5"/>
          <w:szCs w:val="25"/>
          <w:lang w:eastAsia="en-US"/>
        </w:rPr>
      </w:pPr>
      <w:proofErr w:type="gramStart"/>
      <w:r w:rsidRPr="00053662">
        <w:rPr>
          <w:sz w:val="25"/>
          <w:szCs w:val="25"/>
        </w:rPr>
        <w:t>В связи с тем, что в общем плановом объеме налоговых доходов на 2018 год доля доходов от уплаты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053662">
        <w:rPr>
          <w:sz w:val="25"/>
          <w:szCs w:val="25"/>
        </w:rPr>
        <w:t>инжекторных</w:t>
      </w:r>
      <w:proofErr w:type="spellEnd"/>
      <w:r w:rsidRPr="00053662">
        <w:rPr>
          <w:sz w:val="25"/>
          <w:szCs w:val="25"/>
        </w:rPr>
        <w:t>) двигателей, производимых на территории Российской Федерации, составляет всего 0,4%, возможное завышение (занижение) при его расчете в целом не повлияет на достоверность прогнозируемого общего объема доходов городского</w:t>
      </w:r>
      <w:proofErr w:type="gramEnd"/>
      <w:r w:rsidRPr="00053662">
        <w:rPr>
          <w:sz w:val="25"/>
          <w:szCs w:val="25"/>
        </w:rPr>
        <w:t xml:space="preserve"> бюджета на 2018 год.</w:t>
      </w:r>
    </w:p>
    <w:p w:rsidR="004B6EE0" w:rsidRPr="00053662" w:rsidRDefault="004B6EE0" w:rsidP="004B6EE0">
      <w:pPr>
        <w:rPr>
          <w:b/>
          <w:color w:val="0070C0"/>
          <w:sz w:val="16"/>
          <w:szCs w:val="16"/>
          <w:highlight w:val="yellow"/>
        </w:rPr>
      </w:pPr>
    </w:p>
    <w:p w:rsidR="004B6EE0" w:rsidRPr="00053662" w:rsidRDefault="004B6EE0" w:rsidP="004B6EE0">
      <w:pPr>
        <w:ind w:firstLine="567"/>
        <w:rPr>
          <w:bCs/>
          <w:i/>
          <w:sz w:val="25"/>
          <w:szCs w:val="25"/>
        </w:rPr>
      </w:pPr>
      <w:r w:rsidRPr="00053662">
        <w:rPr>
          <w:b/>
          <w:i/>
          <w:sz w:val="25"/>
          <w:szCs w:val="25"/>
        </w:rPr>
        <w:t>Единый налог на вмененный доход</w:t>
      </w:r>
      <w:r w:rsidRPr="00053662">
        <w:rPr>
          <w:b/>
          <w:bCs/>
          <w:i/>
          <w:sz w:val="25"/>
          <w:szCs w:val="25"/>
        </w:rPr>
        <w:t xml:space="preserve"> для отдельных видов деятельности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 xml:space="preserve">В проекте решения объем поступлений единого налога на вмененный доход для отдельных видов деятельности предусмотрен в объеме: на 2018 год – 371 600,0 </w:t>
      </w:r>
      <w:proofErr w:type="spellStart"/>
      <w:r w:rsidRPr="00053662">
        <w:rPr>
          <w:sz w:val="25"/>
          <w:szCs w:val="25"/>
          <w:lang w:eastAsia="en-US"/>
        </w:rPr>
        <w:t>тыс</w:t>
      </w:r>
      <w:proofErr w:type="gramStart"/>
      <w:r w:rsidRPr="00053662">
        <w:rPr>
          <w:sz w:val="25"/>
          <w:szCs w:val="25"/>
          <w:lang w:eastAsia="en-US"/>
        </w:rPr>
        <w:t>.р</w:t>
      </w:r>
      <w:proofErr w:type="gramEnd"/>
      <w:r w:rsidRPr="00053662">
        <w:rPr>
          <w:sz w:val="25"/>
          <w:szCs w:val="25"/>
          <w:lang w:eastAsia="en-US"/>
        </w:rPr>
        <w:t>уб</w:t>
      </w:r>
      <w:proofErr w:type="spellEnd"/>
      <w:r w:rsidRPr="00053662">
        <w:rPr>
          <w:sz w:val="25"/>
          <w:szCs w:val="25"/>
          <w:lang w:eastAsia="en-US"/>
        </w:rPr>
        <w:t xml:space="preserve">. (108,4 % к исполнению за 2016 год и 103,2 % к оценке исполнения за 2017 год), на 2019 год – 380 000,0 </w:t>
      </w:r>
      <w:proofErr w:type="spellStart"/>
      <w:r w:rsidRPr="00053662">
        <w:rPr>
          <w:sz w:val="25"/>
          <w:szCs w:val="25"/>
          <w:lang w:eastAsia="en-US"/>
        </w:rPr>
        <w:t>тыс.руб</w:t>
      </w:r>
      <w:proofErr w:type="spellEnd"/>
      <w:r w:rsidRPr="00053662">
        <w:rPr>
          <w:sz w:val="25"/>
          <w:szCs w:val="25"/>
          <w:lang w:eastAsia="en-US"/>
        </w:rPr>
        <w:t xml:space="preserve">. (102,2% к прогнозу на 2018 год), на 2020 год – 386 000,0 </w:t>
      </w:r>
      <w:proofErr w:type="spellStart"/>
      <w:r w:rsidRPr="00053662">
        <w:rPr>
          <w:sz w:val="25"/>
          <w:szCs w:val="25"/>
          <w:lang w:eastAsia="en-US"/>
        </w:rPr>
        <w:t>тыс.руб</w:t>
      </w:r>
      <w:proofErr w:type="spellEnd"/>
      <w:r w:rsidRPr="00053662">
        <w:rPr>
          <w:sz w:val="25"/>
          <w:szCs w:val="25"/>
          <w:lang w:eastAsia="en-US"/>
        </w:rPr>
        <w:t xml:space="preserve">. (101,6% к прогнозу на 2019 год). Рост прогнозных данных по объему поступлений единого налога на вмененный доход для отдельных видов деятельности на 2018 год и на плановый период 2019 и 2020 годов (при ежегодном снижении налогооблагаемой базы) обусловлен увеличением ожидаемого поступления единого налога на вмененный доход для отдельных видов деятельности за предыдущий финансовый год. 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053662">
        <w:rPr>
          <w:sz w:val="25"/>
          <w:szCs w:val="25"/>
          <w:lang w:eastAsia="en-US"/>
        </w:rPr>
        <w:t>По данным статистической налоговой отчетности ФНС России по форме 1-НМ (отчет о начислении и поступлении налогов, сборов и иных обязательных платежей в бюджетную систему Российской Федерации (сводный по Архангельской области)) уровень собираемости данного налога по состоянию на 01.01.2017</w:t>
      </w:r>
      <w:r w:rsidR="007E30AC" w:rsidRPr="00053662">
        <w:rPr>
          <w:sz w:val="25"/>
          <w:szCs w:val="25"/>
          <w:lang w:eastAsia="en-US"/>
        </w:rPr>
        <w:t xml:space="preserve"> </w:t>
      </w:r>
      <w:r w:rsidRPr="00053662">
        <w:rPr>
          <w:sz w:val="25"/>
          <w:szCs w:val="25"/>
          <w:lang w:eastAsia="en-US"/>
        </w:rPr>
        <w:t xml:space="preserve">составил 98,1%, по </w:t>
      </w:r>
      <w:r w:rsidRPr="00053662">
        <w:rPr>
          <w:sz w:val="25"/>
          <w:szCs w:val="25"/>
          <w:lang w:eastAsia="en-US"/>
        </w:rPr>
        <w:lastRenderedPageBreak/>
        <w:t xml:space="preserve">состоянию на 01.10.2017 – 98,2%, что в целом свидетельствует о стабильности поступления данного дохода. </w:t>
      </w:r>
      <w:proofErr w:type="gramEnd"/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>Приказом Министерства экономического развития РФ от 30.10.2017 №579 «Об установлении коэффициентов-дефляторов на 2018 год» (далее – приказ Минэк</w:t>
      </w:r>
      <w:r w:rsidR="0019774B">
        <w:rPr>
          <w:sz w:val="25"/>
          <w:szCs w:val="25"/>
          <w:lang w:eastAsia="en-US"/>
        </w:rPr>
        <w:t>ономразвития РФ от 30.10.2017 №</w:t>
      </w:r>
      <w:r w:rsidRPr="00053662">
        <w:rPr>
          <w:sz w:val="25"/>
          <w:szCs w:val="25"/>
          <w:lang w:eastAsia="en-US"/>
        </w:rPr>
        <w:t xml:space="preserve">579) коэффициент-дефлятор на 2018 год, необходимый в целях применения главы 26.3 «Система налогообложения в виде единого налога на вмененный доход для отдельных видов деятельности» Налогового кодекса РФ, установлен равным 1,868. </w:t>
      </w:r>
      <w:proofErr w:type="gramStart"/>
      <w:r w:rsidRPr="00053662">
        <w:rPr>
          <w:sz w:val="25"/>
          <w:szCs w:val="25"/>
          <w:lang w:eastAsia="en-US"/>
        </w:rPr>
        <w:t>Исходя из представленных в пояснительной записке к проекту решения исходных данных, использованных для расчета прогноза поступлений по данному источнику доходов, увеличение поступлений налога на вмененный доход для отдельных видов деятельности в связи с принятием вышеуказанного приказа может составить 12 966,0 тыс. руб. (360 000,0*0,95*0,038 (1,868/1,798-1)).</w:t>
      </w:r>
      <w:proofErr w:type="gramEnd"/>
    </w:p>
    <w:p w:rsidR="004B6EE0" w:rsidRPr="00053662" w:rsidRDefault="004B6EE0" w:rsidP="004B6EE0">
      <w:pPr>
        <w:ind w:firstLine="567"/>
        <w:jc w:val="both"/>
        <w:rPr>
          <w:sz w:val="25"/>
          <w:szCs w:val="25"/>
        </w:rPr>
      </w:pPr>
      <w:r w:rsidRPr="00053662">
        <w:rPr>
          <w:sz w:val="25"/>
          <w:szCs w:val="25"/>
          <w:lang w:eastAsia="en-US"/>
        </w:rPr>
        <w:t xml:space="preserve">Согласно пояснительной записке к проекту решения расчет прогноза поступления единого налога на вмененный доход на 2018 год и плановый период 2019-2020 годов осуществлен с учетом темпа снижения ожидаемого поступления данного доходного источника исходя из снижения налогооблагаемой базы, равного 0,950 на каждый год бюджетного цикла. Вместе с тем индекс физического объема платных услуг населению согласно данным </w:t>
      </w:r>
      <w:r w:rsidRPr="00053662">
        <w:rPr>
          <w:sz w:val="25"/>
          <w:szCs w:val="25"/>
        </w:rPr>
        <w:t>Прогноза социально-экономического развития муниципального образования «Город Архангельск» на 2018 год и на плановый период 2019 и 2020 годов к предыдущему году составляет 104,6% в 2018 году, 104,7% - в 2019 году и 104,6% - в 2020 году.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</w:rPr>
        <w:t xml:space="preserve">На основании вышеизложенного можно сделать вывод о том, что прогноз поступлений единого налога на вмененный доход для отдельных видов деятельности на 2018 год и плановый период 2019 и 2020 годов является пессимистичным. </w:t>
      </w:r>
    </w:p>
    <w:p w:rsidR="004B6EE0" w:rsidRPr="00053662" w:rsidRDefault="004B6EE0" w:rsidP="004B6EE0">
      <w:pPr>
        <w:ind w:firstLine="567"/>
        <w:jc w:val="both"/>
        <w:rPr>
          <w:b/>
          <w:i/>
          <w:sz w:val="16"/>
          <w:szCs w:val="16"/>
          <w:lang w:eastAsia="en-US"/>
        </w:rPr>
      </w:pPr>
    </w:p>
    <w:p w:rsidR="004B6EE0" w:rsidRPr="00053662" w:rsidRDefault="004B6EE0" w:rsidP="004B6EE0">
      <w:pPr>
        <w:ind w:firstLine="567"/>
        <w:jc w:val="both"/>
        <w:rPr>
          <w:b/>
          <w:i/>
          <w:sz w:val="25"/>
          <w:szCs w:val="25"/>
          <w:lang w:eastAsia="en-US"/>
        </w:rPr>
      </w:pPr>
      <w:r w:rsidRPr="00053662">
        <w:rPr>
          <w:b/>
          <w:i/>
          <w:sz w:val="25"/>
          <w:szCs w:val="25"/>
          <w:lang w:eastAsia="en-US"/>
        </w:rPr>
        <w:t>Единый сельскохозяйственный налог и налог, взимаемый в виде стоимости патента в связи с применением упрощенной системы налогообложения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 xml:space="preserve">В проекте решения сохраняется практика, когда из года в год объемы по отдельным источникам доходов предусматриваются в равных размерах на каждый год бюджетного цикла, что свидетельствует об условности их прогноза. 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053662">
        <w:rPr>
          <w:sz w:val="25"/>
          <w:szCs w:val="25"/>
          <w:lang w:eastAsia="en-US"/>
        </w:rPr>
        <w:t xml:space="preserve">Согласно пояснительной записке прогноз поступлений единого сельскохозяйственного налога и налога, взимаемого в виде стоимости патента в связи с применением упрощенной системы налогообложения рассчитан ИФНС России по </w:t>
      </w:r>
      <w:proofErr w:type="spellStart"/>
      <w:r w:rsidRPr="00053662">
        <w:rPr>
          <w:sz w:val="25"/>
          <w:szCs w:val="25"/>
          <w:lang w:eastAsia="en-US"/>
        </w:rPr>
        <w:t>г</w:t>
      </w:r>
      <w:proofErr w:type="gramStart"/>
      <w:r w:rsidRPr="00053662">
        <w:rPr>
          <w:sz w:val="25"/>
          <w:szCs w:val="25"/>
          <w:lang w:eastAsia="en-US"/>
        </w:rPr>
        <w:t>.А</w:t>
      </w:r>
      <w:proofErr w:type="gramEnd"/>
      <w:r w:rsidRPr="00053662">
        <w:rPr>
          <w:sz w:val="25"/>
          <w:szCs w:val="25"/>
          <w:lang w:eastAsia="en-US"/>
        </w:rPr>
        <w:t>рхангельску</w:t>
      </w:r>
      <w:proofErr w:type="spellEnd"/>
      <w:r w:rsidRPr="00053662">
        <w:rPr>
          <w:sz w:val="25"/>
          <w:szCs w:val="25"/>
          <w:lang w:eastAsia="en-US"/>
        </w:rPr>
        <w:t>, являющейся главным администратором данных источников доходов.</w:t>
      </w:r>
    </w:p>
    <w:p w:rsidR="004B6EE0" w:rsidRPr="00053662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053662">
        <w:rPr>
          <w:sz w:val="25"/>
          <w:szCs w:val="25"/>
          <w:lang w:eastAsia="en-US"/>
        </w:rPr>
        <w:t xml:space="preserve">Информация об объеме поступлений единого сельскохозяйственного налога и налога, взимаемого в виде стоимости патента в связи с применением упрощенной системы налогообложения в 2015 и 2016 гг., оценке поступлений на 2017 год и прогнозе поступлений на 2018 год и плановый период 2019 и 2020 годов представлена в </w:t>
      </w:r>
      <w:r w:rsidR="00053662">
        <w:rPr>
          <w:sz w:val="25"/>
          <w:szCs w:val="25"/>
          <w:lang w:eastAsia="en-US"/>
        </w:rPr>
        <w:t>ниже в т</w:t>
      </w:r>
      <w:r w:rsidRPr="00053662">
        <w:rPr>
          <w:sz w:val="25"/>
          <w:szCs w:val="25"/>
          <w:lang w:eastAsia="en-US"/>
        </w:rPr>
        <w:t>аблице.</w:t>
      </w:r>
      <w:proofErr w:type="gramEnd"/>
    </w:p>
    <w:p w:rsidR="004B6EE0" w:rsidRPr="007C0303" w:rsidRDefault="004B6EE0" w:rsidP="004B6EE0">
      <w:pPr>
        <w:ind w:firstLine="567"/>
        <w:jc w:val="right"/>
        <w:rPr>
          <w:sz w:val="20"/>
          <w:szCs w:val="20"/>
          <w:lang w:eastAsia="en-US"/>
        </w:rPr>
      </w:pPr>
      <w:r w:rsidRPr="007C0303">
        <w:rPr>
          <w:sz w:val="20"/>
          <w:szCs w:val="20"/>
          <w:lang w:eastAsia="en-US"/>
        </w:rPr>
        <w:t>(тыс. руб.)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276"/>
        <w:gridCol w:w="1276"/>
        <w:gridCol w:w="1134"/>
        <w:gridCol w:w="1276"/>
        <w:gridCol w:w="1134"/>
        <w:gridCol w:w="1099"/>
      </w:tblGrid>
      <w:tr w:rsidR="004B6EE0" w:rsidTr="00053662">
        <w:tc>
          <w:tcPr>
            <w:tcW w:w="2552" w:type="dxa"/>
            <w:vMerge w:val="restart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552" w:type="dxa"/>
            <w:gridSpan w:val="2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Отчет</w:t>
            </w:r>
          </w:p>
        </w:tc>
        <w:tc>
          <w:tcPr>
            <w:tcW w:w="1134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 w:rsidRPr="007C0303">
              <w:rPr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3509" w:type="dxa"/>
            <w:gridSpan w:val="3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Прогноз</w:t>
            </w:r>
          </w:p>
        </w:tc>
      </w:tr>
      <w:tr w:rsidR="004B6EE0" w:rsidTr="00053662">
        <w:tc>
          <w:tcPr>
            <w:tcW w:w="2552" w:type="dxa"/>
            <w:vMerge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1276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1134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276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134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099" w:type="dxa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2020 год</w:t>
            </w:r>
          </w:p>
        </w:tc>
      </w:tr>
      <w:tr w:rsidR="004B6EE0" w:rsidTr="00053662">
        <w:tc>
          <w:tcPr>
            <w:tcW w:w="2552" w:type="dxa"/>
          </w:tcPr>
          <w:p w:rsidR="004B6EE0" w:rsidRPr="007C0303" w:rsidRDefault="004B6EE0" w:rsidP="000536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105 454,7</w:t>
            </w:r>
          </w:p>
        </w:tc>
        <w:tc>
          <w:tcPr>
            <w:tcW w:w="1276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129 711,4</w:t>
            </w:r>
          </w:p>
        </w:tc>
        <w:tc>
          <w:tcPr>
            <w:tcW w:w="1134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79 350,0</w:t>
            </w:r>
          </w:p>
        </w:tc>
        <w:tc>
          <w:tcPr>
            <w:tcW w:w="1276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79 400,0</w:t>
            </w:r>
          </w:p>
        </w:tc>
        <w:tc>
          <w:tcPr>
            <w:tcW w:w="1134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79 400,0</w:t>
            </w:r>
          </w:p>
        </w:tc>
        <w:tc>
          <w:tcPr>
            <w:tcW w:w="1099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79 000,0</w:t>
            </w:r>
          </w:p>
        </w:tc>
      </w:tr>
      <w:tr w:rsidR="004B6EE0" w:rsidTr="00053662">
        <w:tc>
          <w:tcPr>
            <w:tcW w:w="2552" w:type="dxa"/>
          </w:tcPr>
          <w:p w:rsidR="004B6EE0" w:rsidRPr="007C0303" w:rsidRDefault="004B6EE0" w:rsidP="0005366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Налог, взимаемый</w:t>
            </w:r>
            <w:r w:rsidRPr="0000558D">
              <w:rPr>
                <w:sz w:val="20"/>
                <w:szCs w:val="20"/>
                <w:lang w:eastAsia="en-US"/>
              </w:rPr>
              <w:t xml:space="preserve"> в виде стоимости патента в связи с применением </w:t>
            </w:r>
            <w:r>
              <w:rPr>
                <w:sz w:val="20"/>
                <w:szCs w:val="20"/>
                <w:lang w:eastAsia="en-US"/>
              </w:rPr>
              <w:t>УСН</w:t>
            </w:r>
          </w:p>
        </w:tc>
        <w:tc>
          <w:tcPr>
            <w:tcW w:w="1276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12 050,9</w:t>
            </w:r>
          </w:p>
        </w:tc>
        <w:tc>
          <w:tcPr>
            <w:tcW w:w="1276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17 021,3</w:t>
            </w:r>
          </w:p>
        </w:tc>
        <w:tc>
          <w:tcPr>
            <w:tcW w:w="1134" w:type="dxa"/>
            <w:vAlign w:val="center"/>
          </w:tcPr>
          <w:p w:rsidR="004B6EE0" w:rsidRPr="007C0303" w:rsidRDefault="004B6EE0" w:rsidP="000536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276" w:type="dxa"/>
            <w:vAlign w:val="center"/>
          </w:tcPr>
          <w:p w:rsidR="004B6EE0" w:rsidRDefault="004B6EE0" w:rsidP="00053662">
            <w:pPr>
              <w:jc w:val="center"/>
            </w:pPr>
            <w:r w:rsidRPr="00F04585">
              <w:rPr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134" w:type="dxa"/>
            <w:vAlign w:val="center"/>
          </w:tcPr>
          <w:p w:rsidR="004B6EE0" w:rsidRDefault="004B6EE0" w:rsidP="00053662">
            <w:pPr>
              <w:jc w:val="center"/>
            </w:pPr>
            <w:r w:rsidRPr="00F04585">
              <w:rPr>
                <w:sz w:val="20"/>
                <w:szCs w:val="20"/>
                <w:lang w:eastAsia="en-US"/>
              </w:rPr>
              <w:t>21 000,0</w:t>
            </w:r>
          </w:p>
        </w:tc>
        <w:tc>
          <w:tcPr>
            <w:tcW w:w="1099" w:type="dxa"/>
            <w:vAlign w:val="center"/>
          </w:tcPr>
          <w:p w:rsidR="004B6EE0" w:rsidRDefault="004B6EE0" w:rsidP="00053662">
            <w:pPr>
              <w:jc w:val="center"/>
            </w:pPr>
            <w:r w:rsidRPr="00F04585">
              <w:rPr>
                <w:sz w:val="20"/>
                <w:szCs w:val="20"/>
                <w:lang w:eastAsia="en-US"/>
              </w:rPr>
              <w:t>21 000,0</w:t>
            </w:r>
          </w:p>
        </w:tc>
      </w:tr>
    </w:tbl>
    <w:p w:rsidR="004B6EE0" w:rsidRDefault="004B6EE0" w:rsidP="004B6EE0">
      <w:pPr>
        <w:ind w:firstLine="567"/>
        <w:jc w:val="both"/>
        <w:rPr>
          <w:sz w:val="25"/>
          <w:szCs w:val="25"/>
          <w:lang w:eastAsia="en-US"/>
        </w:rPr>
      </w:pP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7B2C4C">
        <w:rPr>
          <w:sz w:val="25"/>
          <w:szCs w:val="25"/>
          <w:lang w:eastAsia="en-US"/>
        </w:rPr>
        <w:t xml:space="preserve">Как следует из данных </w:t>
      </w:r>
      <w:r w:rsidR="007B2C4C" w:rsidRPr="007B2C4C">
        <w:rPr>
          <w:sz w:val="25"/>
          <w:szCs w:val="25"/>
          <w:lang w:eastAsia="en-US"/>
        </w:rPr>
        <w:t>т</w:t>
      </w:r>
      <w:r w:rsidRPr="007B2C4C">
        <w:rPr>
          <w:sz w:val="25"/>
          <w:szCs w:val="25"/>
          <w:lang w:eastAsia="en-US"/>
        </w:rPr>
        <w:t xml:space="preserve">аблицы ежегодное поступление налога, взимаемого в виде стоимости патента в связи с применением упрощенной системы налогообложения, в 2018-2020 годах планируется в размере 21 000,0 тыс. руб.; единого сельскохозяйственного налога – в 2018-2019 годах в размере 79 400,0 тыс. руб. ежегодно, в 2020 году в размере </w:t>
      </w:r>
      <w:r w:rsidRPr="007B2C4C">
        <w:rPr>
          <w:sz w:val="25"/>
          <w:szCs w:val="25"/>
          <w:lang w:eastAsia="en-US"/>
        </w:rPr>
        <w:lastRenderedPageBreak/>
        <w:t>79 000,0 тыс. руб., т.е. на уровне ожидаемой на 2017 год</w:t>
      </w:r>
      <w:proofErr w:type="gramEnd"/>
      <w:r w:rsidRPr="007B2C4C">
        <w:rPr>
          <w:sz w:val="25"/>
          <w:szCs w:val="25"/>
          <w:lang w:eastAsia="en-US"/>
        </w:rPr>
        <w:t xml:space="preserve"> оценки поступлений по данным источникам доходов, соответственно, в размере 21 000,0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 79 350,0 </w:t>
      </w:r>
      <w:proofErr w:type="spellStart"/>
      <w:r w:rsidRPr="007B2C4C">
        <w:rPr>
          <w:sz w:val="25"/>
          <w:szCs w:val="25"/>
          <w:lang w:eastAsia="en-US"/>
        </w:rPr>
        <w:t>тыс.руб</w:t>
      </w:r>
      <w:proofErr w:type="spellEnd"/>
      <w:r w:rsidRPr="007B2C4C">
        <w:rPr>
          <w:sz w:val="25"/>
          <w:szCs w:val="25"/>
          <w:lang w:eastAsia="en-US"/>
        </w:rPr>
        <w:t>.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Таким образом, главным администратором доходов еще на стадии прогнозирования не обеспечено соблюдение требуемого в соответствии со статьей 160.1 Бюджетного кодекса РФ должного уровня администрирования. 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Приказом Минэкономразвития РФ от 30.10.2017 №579 коэффициент-дефлятор на 2018 год, необходимый в целях применения главы 26.5 «Патентная система налогообложения» Налогового кодекса РФ, установлен равным 1,481, в </w:t>
      </w:r>
      <w:proofErr w:type="gramStart"/>
      <w:r w:rsidRPr="007B2C4C">
        <w:rPr>
          <w:sz w:val="25"/>
          <w:szCs w:val="25"/>
          <w:lang w:eastAsia="en-US"/>
        </w:rPr>
        <w:t>связи</w:t>
      </w:r>
      <w:proofErr w:type="gramEnd"/>
      <w:r w:rsidRPr="007B2C4C">
        <w:rPr>
          <w:sz w:val="25"/>
          <w:szCs w:val="25"/>
          <w:lang w:eastAsia="en-US"/>
        </w:rPr>
        <w:t xml:space="preserve"> с чем увеличение поступлений налога, взимаемого в виде стоимости патента в связи с применением упрощенной системы налогообложения, должно составить не менее 3,9%, в абсолютных величинах  - 820,0 тыс. руб. (при условии сохранения прочих исходных данных).</w:t>
      </w:r>
    </w:p>
    <w:p w:rsidR="004B6EE0" w:rsidRPr="007B2C4C" w:rsidRDefault="004B6EE0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proofErr w:type="gramStart"/>
      <w:r w:rsidRPr="007B2C4C">
        <w:rPr>
          <w:sz w:val="25"/>
          <w:szCs w:val="25"/>
        </w:rPr>
        <w:t xml:space="preserve">По данным оценки поступление в 2017 году </w:t>
      </w:r>
      <w:r w:rsidRPr="007B2C4C">
        <w:rPr>
          <w:sz w:val="25"/>
          <w:szCs w:val="25"/>
          <w:lang w:eastAsia="en-US"/>
        </w:rPr>
        <w:t>единого сельскохозяйственного налога</w:t>
      </w:r>
      <w:r w:rsidRPr="007B2C4C">
        <w:rPr>
          <w:sz w:val="25"/>
          <w:szCs w:val="25"/>
        </w:rPr>
        <w:t xml:space="preserve"> оценивается в размере 79 350,0 тыс. руб., что составляет 61,0% от первоначально заложенных в </w:t>
      </w:r>
      <w:r w:rsidRPr="007B2C4C">
        <w:rPr>
          <w:rFonts w:eastAsiaTheme="minorHAnsi"/>
          <w:sz w:val="25"/>
          <w:szCs w:val="25"/>
          <w:lang w:eastAsia="en-US"/>
        </w:rPr>
        <w:t xml:space="preserve">прогнозируемый общий объем доходов городского бюджета на 2017 год поступлений </w:t>
      </w:r>
      <w:r w:rsidRPr="007B2C4C">
        <w:rPr>
          <w:sz w:val="25"/>
          <w:szCs w:val="25"/>
        </w:rPr>
        <w:t xml:space="preserve">по данному источнику дохода (130 000,0 тыс. руб.), погрешность в расчете объема поступлений в 2017 году доходов в виде </w:t>
      </w:r>
      <w:r w:rsidRPr="007B2C4C">
        <w:rPr>
          <w:sz w:val="25"/>
          <w:szCs w:val="25"/>
          <w:lang w:eastAsia="en-US"/>
        </w:rPr>
        <w:t>единого сельскохозяйственного налога</w:t>
      </w:r>
      <w:r w:rsidRPr="007B2C4C">
        <w:rPr>
          <w:sz w:val="25"/>
          <w:szCs w:val="25"/>
        </w:rPr>
        <w:t>, составила 40,0% ((79 350,0</w:t>
      </w:r>
      <w:proofErr w:type="gramEnd"/>
      <w:r w:rsidRPr="007B2C4C">
        <w:rPr>
          <w:sz w:val="25"/>
          <w:szCs w:val="25"/>
        </w:rPr>
        <w:t xml:space="preserve"> – </w:t>
      </w:r>
      <w:proofErr w:type="gramStart"/>
      <w:r w:rsidRPr="007B2C4C">
        <w:rPr>
          <w:sz w:val="25"/>
          <w:szCs w:val="25"/>
        </w:rPr>
        <w:t xml:space="preserve">130 000,0)/130 000,0*100%). </w:t>
      </w:r>
      <w:proofErr w:type="gramEnd"/>
    </w:p>
    <w:p w:rsidR="004B6EE0" w:rsidRPr="00F72AF5" w:rsidRDefault="004B6EE0" w:rsidP="004B6EE0">
      <w:pPr>
        <w:rPr>
          <w:color w:val="0070C0"/>
          <w:sz w:val="16"/>
          <w:szCs w:val="16"/>
          <w:lang w:eastAsia="en-US"/>
        </w:rPr>
      </w:pPr>
    </w:p>
    <w:p w:rsidR="004B6EE0" w:rsidRPr="007B2C4C" w:rsidRDefault="004B6EE0" w:rsidP="004B6EE0">
      <w:pPr>
        <w:ind w:firstLine="567"/>
        <w:rPr>
          <w:b/>
          <w:bCs/>
          <w:i/>
          <w:sz w:val="25"/>
          <w:szCs w:val="25"/>
          <w:lang w:eastAsia="en-US"/>
        </w:rPr>
      </w:pPr>
      <w:r w:rsidRPr="007B2C4C">
        <w:rPr>
          <w:b/>
          <w:bCs/>
          <w:i/>
          <w:sz w:val="25"/>
          <w:szCs w:val="25"/>
          <w:lang w:eastAsia="en-US"/>
        </w:rPr>
        <w:t>Налог на имущество  физических лиц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Согласно прогнозу поступления доходов поступление налога на имущество физических лиц на 2018 год и на плановый период 2019 и 2020 годов составит: на 2018 год – 87 000,0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., на плановый период 2019 и 2020 годов – 103 300,0 </w:t>
      </w:r>
      <w:proofErr w:type="spellStart"/>
      <w:r w:rsidRPr="007B2C4C">
        <w:rPr>
          <w:sz w:val="25"/>
          <w:szCs w:val="25"/>
          <w:lang w:eastAsia="en-US"/>
        </w:rPr>
        <w:t>тыс.руб</w:t>
      </w:r>
      <w:proofErr w:type="spellEnd"/>
      <w:r w:rsidRPr="007B2C4C">
        <w:rPr>
          <w:sz w:val="25"/>
          <w:szCs w:val="25"/>
          <w:lang w:eastAsia="en-US"/>
        </w:rPr>
        <w:t xml:space="preserve">. и 120 800,0 </w:t>
      </w:r>
      <w:proofErr w:type="spellStart"/>
      <w:r w:rsidRPr="007B2C4C">
        <w:rPr>
          <w:sz w:val="25"/>
          <w:szCs w:val="25"/>
          <w:lang w:eastAsia="en-US"/>
        </w:rPr>
        <w:t>тыс.руб</w:t>
      </w:r>
      <w:proofErr w:type="spellEnd"/>
      <w:r w:rsidRPr="007B2C4C">
        <w:rPr>
          <w:sz w:val="25"/>
          <w:szCs w:val="25"/>
          <w:lang w:eastAsia="en-US"/>
        </w:rPr>
        <w:t xml:space="preserve">. соответственно. 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>Согласно пояснительной записке к проекту решения расчет прогноза по поступлениям осуществлен главным администратором доходов городского бюджета (ИФНС России по г. Архангельску) исходя из кадастровой стоимости объектов налогообложения с учетом коэффициента</w:t>
      </w:r>
      <w:proofErr w:type="gramStart"/>
      <w:r w:rsidRPr="007B2C4C">
        <w:rPr>
          <w:sz w:val="25"/>
          <w:szCs w:val="25"/>
          <w:lang w:eastAsia="en-US"/>
        </w:rPr>
        <w:t xml:space="preserve"> К</w:t>
      </w:r>
      <w:proofErr w:type="gramEnd"/>
      <w:r w:rsidRPr="007B2C4C">
        <w:rPr>
          <w:sz w:val="25"/>
          <w:szCs w:val="25"/>
          <w:lang w:eastAsia="en-US"/>
        </w:rPr>
        <w:t xml:space="preserve"> в соответствии со статьей 408 Налогового кодекса РФ, равного 0,6 – на 2018 год, 0,8 – на 2019 год, на 2020 год – от полной кадастровой стоимости. </w:t>
      </w:r>
    </w:p>
    <w:p w:rsidR="004B6EE0" w:rsidRPr="007B2C4C" w:rsidRDefault="00F72AF5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4B6EE0" w:rsidRPr="007B2C4C">
        <w:rPr>
          <w:sz w:val="25"/>
          <w:szCs w:val="25"/>
        </w:rPr>
        <w:t xml:space="preserve">рогноз </w:t>
      </w:r>
      <w:r w:rsidR="004B6EE0" w:rsidRPr="007B2C4C">
        <w:rPr>
          <w:sz w:val="25"/>
          <w:szCs w:val="25"/>
          <w:lang w:eastAsia="en-US"/>
        </w:rPr>
        <w:t xml:space="preserve">поступления налога на имущество физических лиц на 2018 год и плановый период 2019 и 2020 годов рассчитан ИФНС России по г. Архангельску исходя из низких уровня собираемости налога и погашения задолженности прошлых лет. </w:t>
      </w:r>
      <w:proofErr w:type="gramStart"/>
      <w:r w:rsidR="004B6EE0" w:rsidRPr="007B2C4C">
        <w:rPr>
          <w:sz w:val="25"/>
          <w:szCs w:val="25"/>
          <w:lang w:eastAsia="en-US"/>
        </w:rPr>
        <w:t xml:space="preserve">Так, при заложенном в расчет уровне собираемости налога на имущество физических лиц (63%) размер не поступившего налога составит: в 2018 году – 44 576,1 тыс. руб., в 2019 году – 51 858,5 тыс. руб., в 2020 году – 59 200,0 тыс. руб., при этом погашение задолженности прошлых лет запланировано в размере 11 100,0 тыс. руб., 15 000,0 тыс. руб. и 20 000,0 </w:t>
      </w:r>
      <w:proofErr w:type="spellStart"/>
      <w:r w:rsidR="004B6EE0" w:rsidRPr="007B2C4C">
        <w:rPr>
          <w:sz w:val="25"/>
          <w:szCs w:val="25"/>
          <w:lang w:eastAsia="en-US"/>
        </w:rPr>
        <w:t>тыс</w:t>
      </w:r>
      <w:proofErr w:type="gramEnd"/>
      <w:r w:rsidR="004B6EE0" w:rsidRPr="007B2C4C">
        <w:rPr>
          <w:sz w:val="25"/>
          <w:szCs w:val="25"/>
          <w:lang w:eastAsia="en-US"/>
        </w:rPr>
        <w:t>.руб</w:t>
      </w:r>
      <w:proofErr w:type="spellEnd"/>
      <w:r w:rsidR="004B6EE0" w:rsidRPr="007B2C4C">
        <w:rPr>
          <w:sz w:val="25"/>
          <w:szCs w:val="25"/>
          <w:lang w:eastAsia="en-US"/>
        </w:rPr>
        <w:t xml:space="preserve">., соответственно, что свидетельствует о пессимистичном прогнозе поступлений данного доходного источника. </w:t>
      </w:r>
    </w:p>
    <w:p w:rsidR="004B6EE0" w:rsidRPr="00F72AF5" w:rsidRDefault="004B6EE0" w:rsidP="004B6EE0">
      <w:pPr>
        <w:jc w:val="both"/>
        <w:rPr>
          <w:color w:val="0070C0"/>
          <w:sz w:val="16"/>
          <w:szCs w:val="16"/>
          <w:lang w:eastAsia="en-US"/>
        </w:rPr>
      </w:pPr>
    </w:p>
    <w:p w:rsidR="004B6EE0" w:rsidRPr="007B2C4C" w:rsidRDefault="004B6EE0" w:rsidP="004B6EE0">
      <w:pPr>
        <w:ind w:firstLine="567"/>
        <w:jc w:val="both"/>
        <w:rPr>
          <w:b/>
          <w:i/>
          <w:sz w:val="25"/>
          <w:szCs w:val="25"/>
          <w:lang w:eastAsia="en-US"/>
        </w:rPr>
      </w:pPr>
      <w:r w:rsidRPr="007B2C4C">
        <w:rPr>
          <w:b/>
          <w:i/>
          <w:sz w:val="25"/>
          <w:szCs w:val="25"/>
          <w:lang w:eastAsia="en-US"/>
        </w:rPr>
        <w:t>Земельный налог</w:t>
      </w:r>
    </w:p>
    <w:p w:rsidR="004B6EE0" w:rsidRPr="00F72AF5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F72AF5">
        <w:rPr>
          <w:sz w:val="25"/>
          <w:szCs w:val="25"/>
          <w:lang w:eastAsia="en-US"/>
        </w:rPr>
        <w:t xml:space="preserve">Согласно прогнозу поступления доходов поступления земельного налога на 2018 год и на плановый период 2019 и 2020 годов составят ежегодно 150 000,0 </w:t>
      </w:r>
      <w:proofErr w:type="spellStart"/>
      <w:r w:rsidRPr="00F72AF5">
        <w:rPr>
          <w:sz w:val="25"/>
          <w:szCs w:val="25"/>
          <w:lang w:eastAsia="en-US"/>
        </w:rPr>
        <w:t>тыс.руб</w:t>
      </w:r>
      <w:proofErr w:type="spellEnd"/>
      <w:r w:rsidRPr="00F72AF5">
        <w:rPr>
          <w:sz w:val="25"/>
          <w:szCs w:val="25"/>
          <w:lang w:eastAsia="en-US"/>
        </w:rPr>
        <w:t xml:space="preserve">. Согласно пояснительной записке к проекту решения расчет прогноза поступлений осуществлен главным администратором доходов городского бюджета (ИФНС России по </w:t>
      </w:r>
      <w:proofErr w:type="spellStart"/>
      <w:r w:rsidRPr="00F72AF5">
        <w:rPr>
          <w:sz w:val="25"/>
          <w:szCs w:val="25"/>
          <w:lang w:eastAsia="en-US"/>
        </w:rPr>
        <w:t>г</w:t>
      </w:r>
      <w:proofErr w:type="gramStart"/>
      <w:r w:rsidRPr="00F72AF5">
        <w:rPr>
          <w:sz w:val="25"/>
          <w:szCs w:val="25"/>
          <w:lang w:eastAsia="en-US"/>
        </w:rPr>
        <w:t>.А</w:t>
      </w:r>
      <w:proofErr w:type="gramEnd"/>
      <w:r w:rsidRPr="00F72AF5">
        <w:rPr>
          <w:sz w:val="25"/>
          <w:szCs w:val="25"/>
          <w:lang w:eastAsia="en-US"/>
        </w:rPr>
        <w:t>рхангельску</w:t>
      </w:r>
      <w:proofErr w:type="spellEnd"/>
      <w:r w:rsidRPr="00F72AF5">
        <w:rPr>
          <w:sz w:val="25"/>
          <w:szCs w:val="25"/>
          <w:lang w:eastAsia="en-US"/>
        </w:rPr>
        <w:t xml:space="preserve">) исходя из начисленной суммы налога за 2016 год. </w:t>
      </w:r>
    </w:p>
    <w:p w:rsidR="004B6EE0" w:rsidRPr="00F72AF5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F72AF5">
        <w:rPr>
          <w:sz w:val="25"/>
          <w:szCs w:val="25"/>
          <w:lang w:eastAsia="en-US"/>
        </w:rPr>
        <w:t>Решением Архангельской городской Думы от 26.10.2016 №421 «О внесении изменений в решение Архангельского городского Совета депутатов от 26.10.2015 №51 «О введении земельного налога на территории муниципального образования «Город Архангельск» внесены изменения в части отнесения земельных участков,</w:t>
      </w:r>
      <w:r w:rsidRPr="007B2C4C">
        <w:rPr>
          <w:sz w:val="25"/>
          <w:szCs w:val="25"/>
          <w:lang w:eastAsia="en-US"/>
        </w:rPr>
        <w:t xml:space="preserve"> предоставленных для строительства и эксплуатации гаражных, гаражно-строительных кооперативов и индивидуальных гаражей для хранения личного автотранспорта, к </w:t>
      </w:r>
      <w:r w:rsidRPr="007B2C4C">
        <w:rPr>
          <w:sz w:val="25"/>
          <w:szCs w:val="25"/>
          <w:lang w:eastAsia="en-US"/>
        </w:rPr>
        <w:lastRenderedPageBreak/>
        <w:t>категории прочих земельных участков, по которым ставка земельного</w:t>
      </w:r>
      <w:proofErr w:type="gramEnd"/>
      <w:r w:rsidRPr="007B2C4C">
        <w:rPr>
          <w:sz w:val="25"/>
          <w:szCs w:val="25"/>
          <w:lang w:eastAsia="en-US"/>
        </w:rPr>
        <w:t xml:space="preserve"> налога составляет 1,5% от </w:t>
      </w:r>
      <w:r w:rsidRPr="00F72AF5">
        <w:rPr>
          <w:sz w:val="25"/>
          <w:szCs w:val="25"/>
          <w:lang w:eastAsia="en-US"/>
        </w:rPr>
        <w:t xml:space="preserve">кадастровой стоимости участка (увеличение ставки земельного налога в отношении данной категории земельных участков составило 0,5%), вышеуказанное решение вступило в силу с 01.01.2017. </w:t>
      </w:r>
      <w:proofErr w:type="gramStart"/>
      <w:r w:rsidRPr="00F72AF5">
        <w:rPr>
          <w:sz w:val="25"/>
          <w:szCs w:val="25"/>
          <w:lang w:eastAsia="en-US"/>
        </w:rPr>
        <w:t xml:space="preserve">В представленном в пояснительной записке к проекту решения расчете отсутствуют данные о размере дополнительно начисленного земельного налога в связи с увеличением с 01.01.2017 ставки земельного налога по земельным участкам, предоставленным для строительства и эксплуатации гаражных, гаражно-строительных кооперативов и индивидуальных гаражей для хранения личного автотранспорта, с 1,0% до 1,5% от кадастровой стоимости участка. </w:t>
      </w:r>
      <w:proofErr w:type="gramEnd"/>
    </w:p>
    <w:p w:rsidR="004B6EE0" w:rsidRPr="00F72AF5" w:rsidRDefault="00941857" w:rsidP="004B6EE0">
      <w:pPr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en-US"/>
        </w:rPr>
      </w:pPr>
      <w:hyperlink r:id="rId14" w:history="1">
        <w:r w:rsidR="004B6EE0" w:rsidRPr="00F72AF5">
          <w:rPr>
            <w:rFonts w:eastAsiaTheme="minorHAnsi"/>
            <w:sz w:val="25"/>
            <w:szCs w:val="25"/>
            <w:lang w:eastAsia="en-US"/>
          </w:rPr>
          <w:t>Решение</w:t>
        </w:r>
      </w:hyperlink>
      <w:proofErr w:type="gramStart"/>
      <w:r w:rsidR="004B6EE0" w:rsidRPr="00F72AF5">
        <w:rPr>
          <w:rFonts w:eastAsiaTheme="minorHAnsi"/>
          <w:sz w:val="25"/>
          <w:szCs w:val="25"/>
          <w:lang w:eastAsia="en-US"/>
        </w:rPr>
        <w:t>м</w:t>
      </w:r>
      <w:proofErr w:type="gramEnd"/>
      <w:r w:rsidR="004B6EE0" w:rsidRPr="00F72AF5">
        <w:rPr>
          <w:rFonts w:eastAsiaTheme="minorHAnsi"/>
          <w:sz w:val="25"/>
          <w:szCs w:val="25"/>
          <w:lang w:eastAsia="en-US"/>
        </w:rPr>
        <w:t xml:space="preserve"> Архангельской городской Думы от 25.10.2017 №58 «О внесении дополнений в решение Архангельского городского Совета депутатов от 26.10.2005 № 51 «О введении земельного налога на территории муниципального образования «Город Архангельск» освобождены от налогообложения земельным налогом физические лица в отношении земельных участков, предоставленных для индивидуального жилищного строительства в соответствии со статьей 2.3 областного закона от 07.10.2003 № 192-24-ОЗ «О порядке предоставления земельных участков отдельным категориям граждан» (приобретенные многодетными семьями земельные участки для индивидуального жилищного строительства и ведения личного подсобного хозяйства) при получении разрешения на строительство на данных земельных участках. </w:t>
      </w:r>
      <w:proofErr w:type="gramStart"/>
      <w:r w:rsidR="004B6EE0" w:rsidRPr="00F72AF5">
        <w:rPr>
          <w:rFonts w:eastAsiaTheme="minorHAnsi"/>
          <w:sz w:val="25"/>
          <w:szCs w:val="25"/>
          <w:lang w:eastAsia="en-US"/>
        </w:rPr>
        <w:t>Согласно пункту 5 решения Архангельского городского Совета депутатов от 26.10.2005 № 51 «О введении земельного налога на территории муниципального образования «Город Архангельск» (в редакции решения Архангельской городской Думы от 25.10.2017 №58) налогоплательщики - физические лица освобождаются от уплаты земельного налога с года, в котором получено разрешение на строительство объекта индивидуального жилищного строительства, сроком на 10 лет.</w:t>
      </w:r>
      <w:proofErr w:type="gramEnd"/>
      <w:r w:rsidR="004B6EE0" w:rsidRPr="00F72AF5">
        <w:rPr>
          <w:rFonts w:eastAsiaTheme="minorHAnsi"/>
          <w:sz w:val="25"/>
          <w:szCs w:val="25"/>
          <w:lang w:eastAsia="en-US"/>
        </w:rPr>
        <w:t xml:space="preserve"> Решение Архангельской городской Думы от 25.10.2017 №58 вступает в силу с 01.01.2018. В представленном в пояснительной записке к проекту решения расчете отсутствуют данные оценки объема выпадающих доходов по причине освобождения отдельной категории налогоплательщиков от уплаты земельного налога, </w:t>
      </w:r>
      <w:r w:rsidR="004B6EE0" w:rsidRPr="00F72AF5">
        <w:rPr>
          <w:sz w:val="25"/>
          <w:szCs w:val="25"/>
          <w:lang w:eastAsia="en-US"/>
        </w:rPr>
        <w:t xml:space="preserve">в </w:t>
      </w:r>
      <w:proofErr w:type="gramStart"/>
      <w:r w:rsidR="004B6EE0" w:rsidRPr="00F72AF5">
        <w:rPr>
          <w:sz w:val="25"/>
          <w:szCs w:val="25"/>
          <w:lang w:eastAsia="en-US"/>
        </w:rPr>
        <w:t>связи</w:t>
      </w:r>
      <w:proofErr w:type="gramEnd"/>
      <w:r w:rsidR="004B6EE0" w:rsidRPr="00F72AF5">
        <w:rPr>
          <w:sz w:val="25"/>
          <w:szCs w:val="25"/>
          <w:lang w:eastAsia="en-US"/>
        </w:rPr>
        <w:t xml:space="preserve"> с чем в  2018 году существует риск </w:t>
      </w:r>
      <w:proofErr w:type="spellStart"/>
      <w:r w:rsidR="004B6EE0" w:rsidRPr="00F72AF5">
        <w:rPr>
          <w:sz w:val="25"/>
          <w:szCs w:val="25"/>
          <w:lang w:eastAsia="en-US"/>
        </w:rPr>
        <w:t>недостижения</w:t>
      </w:r>
      <w:proofErr w:type="spellEnd"/>
      <w:r w:rsidR="004B6EE0" w:rsidRPr="00F72AF5">
        <w:rPr>
          <w:sz w:val="25"/>
          <w:szCs w:val="25"/>
          <w:lang w:eastAsia="en-US"/>
        </w:rPr>
        <w:t xml:space="preserve"> прогнозного показателя по поступлению в городской бюджет данного источника доходов. </w:t>
      </w:r>
    </w:p>
    <w:p w:rsidR="004B6EE0" w:rsidRPr="00F72AF5" w:rsidRDefault="00F72AF5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Кроме того, в р</w:t>
      </w:r>
      <w:r w:rsidR="004B6EE0" w:rsidRPr="00F72AF5">
        <w:rPr>
          <w:sz w:val="25"/>
          <w:szCs w:val="25"/>
        </w:rPr>
        <w:t xml:space="preserve">асчет прогноза </w:t>
      </w:r>
      <w:r w:rsidR="004B6EE0" w:rsidRPr="00F72AF5">
        <w:rPr>
          <w:sz w:val="25"/>
          <w:szCs w:val="25"/>
          <w:lang w:eastAsia="en-US"/>
        </w:rPr>
        <w:t xml:space="preserve">поступлений земельного налога на 2018 год и плановый период 2019 и 2020 годов ИФНС России по </w:t>
      </w:r>
      <w:proofErr w:type="spellStart"/>
      <w:r w:rsidR="004B6EE0" w:rsidRPr="00F72AF5">
        <w:rPr>
          <w:sz w:val="25"/>
          <w:szCs w:val="25"/>
          <w:lang w:eastAsia="en-US"/>
        </w:rPr>
        <w:t>г</w:t>
      </w:r>
      <w:proofErr w:type="gramStart"/>
      <w:r w:rsidR="004B6EE0" w:rsidRPr="00F72AF5">
        <w:rPr>
          <w:sz w:val="25"/>
          <w:szCs w:val="25"/>
          <w:lang w:eastAsia="en-US"/>
        </w:rPr>
        <w:t>.А</w:t>
      </w:r>
      <w:proofErr w:type="gramEnd"/>
      <w:r w:rsidR="004B6EE0" w:rsidRPr="00F72AF5">
        <w:rPr>
          <w:sz w:val="25"/>
          <w:szCs w:val="25"/>
          <w:lang w:eastAsia="en-US"/>
        </w:rPr>
        <w:t>рхангельску</w:t>
      </w:r>
      <w:proofErr w:type="spellEnd"/>
      <w:r w:rsidR="004B6EE0" w:rsidRPr="00F72AF5">
        <w:rPr>
          <w:sz w:val="25"/>
          <w:szCs w:val="25"/>
          <w:lang w:eastAsia="en-US"/>
        </w:rPr>
        <w:t xml:space="preserve"> заложены данные об общей недоимке данного налога в размере 31 000,0 тыс. руб. ежегодно, при этом, погашение задолженности прошлых лет по земельному налогу планируется в размере 3 500,0 </w:t>
      </w:r>
      <w:proofErr w:type="spellStart"/>
      <w:r w:rsidR="004B6EE0" w:rsidRPr="00F72AF5">
        <w:rPr>
          <w:sz w:val="25"/>
          <w:szCs w:val="25"/>
          <w:lang w:eastAsia="en-US"/>
        </w:rPr>
        <w:t>тыс.руб</w:t>
      </w:r>
      <w:proofErr w:type="spellEnd"/>
      <w:r w:rsidR="004B6EE0" w:rsidRPr="00F72AF5">
        <w:rPr>
          <w:sz w:val="25"/>
          <w:szCs w:val="25"/>
          <w:lang w:eastAsia="en-US"/>
        </w:rPr>
        <w:t xml:space="preserve">. ежегодно. </w:t>
      </w:r>
    </w:p>
    <w:p w:rsidR="004B6EE0" w:rsidRPr="008C7C0C" w:rsidRDefault="004B6EE0" w:rsidP="004B6EE0">
      <w:pPr>
        <w:autoSpaceDE w:val="0"/>
        <w:autoSpaceDN w:val="0"/>
        <w:adjustRightInd w:val="0"/>
        <w:jc w:val="both"/>
        <w:outlineLvl w:val="0"/>
        <w:rPr>
          <w:sz w:val="16"/>
          <w:szCs w:val="16"/>
          <w:lang w:eastAsia="en-US"/>
        </w:rPr>
      </w:pPr>
    </w:p>
    <w:p w:rsidR="004B6EE0" w:rsidRPr="007B2C4C" w:rsidRDefault="004B6EE0" w:rsidP="004B6EE0">
      <w:pPr>
        <w:autoSpaceDE w:val="0"/>
        <w:autoSpaceDN w:val="0"/>
        <w:adjustRightInd w:val="0"/>
        <w:ind w:firstLine="540"/>
        <w:jc w:val="both"/>
        <w:outlineLvl w:val="0"/>
        <w:rPr>
          <w:b/>
          <w:i/>
          <w:sz w:val="25"/>
          <w:szCs w:val="25"/>
          <w:lang w:eastAsia="en-US"/>
        </w:rPr>
      </w:pPr>
      <w:r w:rsidRPr="007B2C4C">
        <w:rPr>
          <w:b/>
          <w:i/>
          <w:sz w:val="25"/>
          <w:szCs w:val="25"/>
          <w:lang w:eastAsia="en-US"/>
        </w:rPr>
        <w:t xml:space="preserve"> Государственная пошлина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7B2C4C">
        <w:rPr>
          <w:sz w:val="25"/>
          <w:szCs w:val="25"/>
          <w:lang w:eastAsia="en-US"/>
        </w:rPr>
        <w:t>Согласно прогнозу поступления доходов поступления государственной пошлины на 2018 год и на плановый период 2019 и 2020 годов составят: на 2018 год – 85 770,0 тыс. руб., на 2019 год – 85 375,0 тыс. руб., на 2020 год – 84 950,0 руб. Доходы в виде государственной пошлины запланированы со снижением к уровню оценки поступлений на 2017 год: на 2018 год - на 1,1%, на</w:t>
      </w:r>
      <w:proofErr w:type="gramEnd"/>
      <w:r w:rsidRPr="007B2C4C">
        <w:rPr>
          <w:sz w:val="25"/>
          <w:szCs w:val="25"/>
          <w:lang w:eastAsia="en-US"/>
        </w:rPr>
        <w:t xml:space="preserve"> 2019 год – на 1,5%, на 2020 год – на 2,0%. 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Согласно пояснительной записке к проекту решения расчет прогноза поступлений в разрезе администрируемых доходов осуществлен главными администраторами доходов городского бюджета (ИФНС России по </w:t>
      </w:r>
      <w:proofErr w:type="spellStart"/>
      <w:r w:rsidRPr="007B2C4C">
        <w:rPr>
          <w:sz w:val="25"/>
          <w:szCs w:val="25"/>
          <w:lang w:eastAsia="en-US"/>
        </w:rPr>
        <w:t>г</w:t>
      </w:r>
      <w:proofErr w:type="gramStart"/>
      <w:r w:rsidRPr="007B2C4C">
        <w:rPr>
          <w:sz w:val="25"/>
          <w:szCs w:val="25"/>
          <w:lang w:eastAsia="en-US"/>
        </w:rPr>
        <w:t>.А</w:t>
      </w:r>
      <w:proofErr w:type="gramEnd"/>
      <w:r w:rsidRPr="007B2C4C">
        <w:rPr>
          <w:sz w:val="25"/>
          <w:szCs w:val="25"/>
          <w:lang w:eastAsia="en-US"/>
        </w:rPr>
        <w:t>рхангельску</w:t>
      </w:r>
      <w:proofErr w:type="spellEnd"/>
      <w:r w:rsidRPr="007B2C4C">
        <w:rPr>
          <w:sz w:val="25"/>
          <w:szCs w:val="25"/>
          <w:lang w:eastAsia="en-US"/>
        </w:rPr>
        <w:t xml:space="preserve">, Министерство транспорта Архангельской области, Администрация МО «Город Архангельск» и департамент транспорта, строительства и городской инфраструктуры Администрации МО «Город Архангельск») исходя из динамики поступлений за предыдущие годы и оценки ожидаемого поступления за 2017 год. </w:t>
      </w:r>
    </w:p>
    <w:p w:rsidR="00053662" w:rsidRPr="007B2C4C" w:rsidRDefault="00053662" w:rsidP="004B6EE0">
      <w:pPr>
        <w:ind w:firstLine="567"/>
        <w:jc w:val="both"/>
        <w:rPr>
          <w:b/>
          <w:i/>
          <w:sz w:val="25"/>
          <w:szCs w:val="25"/>
          <w:lang w:eastAsia="en-US"/>
        </w:rPr>
      </w:pPr>
    </w:p>
    <w:p w:rsidR="004B6EE0" w:rsidRDefault="004B6EE0" w:rsidP="004B6EE0">
      <w:pPr>
        <w:ind w:firstLine="567"/>
        <w:jc w:val="both"/>
        <w:rPr>
          <w:b/>
          <w:i/>
          <w:sz w:val="25"/>
          <w:szCs w:val="25"/>
          <w:lang w:eastAsia="en-US"/>
        </w:rPr>
      </w:pPr>
      <w:r w:rsidRPr="00252A07">
        <w:rPr>
          <w:b/>
          <w:i/>
          <w:sz w:val="25"/>
          <w:szCs w:val="25"/>
          <w:lang w:eastAsia="en-US"/>
        </w:rPr>
        <w:t>Задолженность и перерасчеты по отмененным налогам, сборам и иным обязательным платежам</w:t>
      </w:r>
    </w:p>
    <w:p w:rsidR="004B6EE0" w:rsidRPr="00E90372" w:rsidRDefault="004B6EE0" w:rsidP="004B6EE0">
      <w:pPr>
        <w:ind w:firstLine="567"/>
        <w:jc w:val="both"/>
        <w:rPr>
          <w:b/>
          <w:i/>
          <w:sz w:val="25"/>
          <w:szCs w:val="25"/>
          <w:lang w:eastAsia="en-US"/>
        </w:rPr>
      </w:pPr>
      <w:r w:rsidRPr="00E90372">
        <w:rPr>
          <w:sz w:val="25"/>
          <w:szCs w:val="25"/>
          <w:lang w:eastAsia="en-US"/>
        </w:rPr>
        <w:lastRenderedPageBreak/>
        <w:t xml:space="preserve">Поступление задолженности и перерасчетов по отмененным налогам, сборам и иным обязательным платежам в 2018 году и плановом периоде 2019 и 2020 годов  составит 0,0 </w:t>
      </w:r>
      <w:proofErr w:type="spellStart"/>
      <w:r w:rsidRPr="00E90372">
        <w:rPr>
          <w:sz w:val="25"/>
          <w:szCs w:val="25"/>
          <w:lang w:eastAsia="en-US"/>
        </w:rPr>
        <w:t>тыс</w:t>
      </w:r>
      <w:proofErr w:type="gramStart"/>
      <w:r w:rsidRPr="00E90372">
        <w:rPr>
          <w:sz w:val="25"/>
          <w:szCs w:val="25"/>
          <w:lang w:eastAsia="en-US"/>
        </w:rPr>
        <w:t>.р</w:t>
      </w:r>
      <w:proofErr w:type="gramEnd"/>
      <w:r w:rsidRPr="00E90372">
        <w:rPr>
          <w:sz w:val="25"/>
          <w:szCs w:val="25"/>
          <w:lang w:eastAsia="en-US"/>
        </w:rPr>
        <w:t>уб</w:t>
      </w:r>
      <w:proofErr w:type="spellEnd"/>
      <w:r w:rsidRPr="00E90372">
        <w:rPr>
          <w:sz w:val="25"/>
          <w:szCs w:val="25"/>
          <w:lang w:eastAsia="en-US"/>
        </w:rPr>
        <w:t xml:space="preserve">. </w:t>
      </w:r>
    </w:p>
    <w:p w:rsidR="004B6EE0" w:rsidRDefault="004B6EE0" w:rsidP="004B6EE0">
      <w:pPr>
        <w:ind w:firstLine="567"/>
        <w:jc w:val="both"/>
        <w:rPr>
          <w:b/>
          <w:color w:val="0070C0"/>
          <w:sz w:val="25"/>
          <w:szCs w:val="25"/>
        </w:rPr>
      </w:pPr>
    </w:p>
    <w:p w:rsidR="004B6EE0" w:rsidRPr="006A2388" w:rsidRDefault="004B6EE0" w:rsidP="004B6EE0">
      <w:pPr>
        <w:ind w:firstLine="567"/>
        <w:jc w:val="both"/>
        <w:rPr>
          <w:b/>
          <w:sz w:val="25"/>
          <w:szCs w:val="25"/>
        </w:rPr>
      </w:pPr>
      <w:r w:rsidRPr="006A2388">
        <w:rPr>
          <w:b/>
          <w:sz w:val="25"/>
          <w:szCs w:val="25"/>
        </w:rPr>
        <w:t>3.3. Неналоговые доходы</w:t>
      </w:r>
    </w:p>
    <w:p w:rsidR="004B6EE0" w:rsidRPr="00577448" w:rsidRDefault="00205926" w:rsidP="004B6EE0">
      <w:pPr>
        <w:ind w:firstLine="567"/>
        <w:jc w:val="both"/>
        <w:rPr>
          <w:sz w:val="25"/>
          <w:szCs w:val="25"/>
        </w:rPr>
      </w:pPr>
      <w:r w:rsidRPr="00205926">
        <w:rPr>
          <w:b/>
          <w:sz w:val="25"/>
          <w:szCs w:val="25"/>
        </w:rPr>
        <w:t>3.3.1.</w:t>
      </w:r>
      <w:r>
        <w:rPr>
          <w:sz w:val="25"/>
          <w:szCs w:val="25"/>
        </w:rPr>
        <w:t xml:space="preserve"> </w:t>
      </w:r>
      <w:proofErr w:type="gramStart"/>
      <w:r w:rsidR="004B6EE0" w:rsidRPr="00577448">
        <w:rPr>
          <w:sz w:val="25"/>
          <w:szCs w:val="25"/>
        </w:rPr>
        <w:t xml:space="preserve">В структуре налоговых и неналоговых доходов по данным отчета за 2016 год, оценки на 2017 год и прогноза на 2018 год и плановый период 2019 и 2020 годов доля неналоговых доходов в объеме собственных доходов городского бюджета динамично снижается: с 18,4% в 2016 году до 12,4% в прогнозном 2020 году. </w:t>
      </w:r>
      <w:proofErr w:type="gramEnd"/>
    </w:p>
    <w:p w:rsidR="004B6EE0" w:rsidRPr="00BE1937" w:rsidRDefault="004B6EE0" w:rsidP="004B6EE0">
      <w:pPr>
        <w:ind w:firstLine="567"/>
        <w:jc w:val="right"/>
        <w:rPr>
          <w:sz w:val="20"/>
          <w:szCs w:val="20"/>
        </w:rPr>
      </w:pPr>
      <w:r w:rsidRPr="00BE1937">
        <w:rPr>
          <w:sz w:val="20"/>
          <w:szCs w:val="20"/>
        </w:rPr>
        <w:t>(</w:t>
      </w:r>
      <w:proofErr w:type="spellStart"/>
      <w:r w:rsidRPr="00BE1937">
        <w:rPr>
          <w:sz w:val="20"/>
          <w:szCs w:val="20"/>
        </w:rPr>
        <w:t>тыс</w:t>
      </w:r>
      <w:proofErr w:type="gramStart"/>
      <w:r w:rsidRPr="00BE1937">
        <w:rPr>
          <w:sz w:val="20"/>
          <w:szCs w:val="20"/>
        </w:rPr>
        <w:t>.р</w:t>
      </w:r>
      <w:proofErr w:type="gramEnd"/>
      <w:r w:rsidRPr="00BE1937">
        <w:rPr>
          <w:sz w:val="20"/>
          <w:szCs w:val="20"/>
        </w:rPr>
        <w:t>уб</w:t>
      </w:r>
      <w:proofErr w:type="spellEnd"/>
      <w:r w:rsidRPr="00BE1937">
        <w:rPr>
          <w:sz w:val="20"/>
          <w:szCs w:val="20"/>
        </w:rPr>
        <w:t>.)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275"/>
        <w:gridCol w:w="1276"/>
        <w:gridCol w:w="1276"/>
        <w:gridCol w:w="1276"/>
        <w:gridCol w:w="1275"/>
      </w:tblGrid>
      <w:tr w:rsidR="004B6EE0" w:rsidRPr="002551EB" w:rsidTr="00053662">
        <w:trPr>
          <w:trHeight w:val="315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Показатель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2017 год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Проект бюджета</w:t>
            </w:r>
          </w:p>
        </w:tc>
      </w:tr>
      <w:tr w:rsidR="004B6EE0" w:rsidRPr="002551EB" w:rsidTr="00053662">
        <w:trPr>
          <w:trHeight w:val="315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EE0" w:rsidRPr="00BE1937" w:rsidRDefault="004B6EE0" w:rsidP="0005366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iCs/>
                <w:sz w:val="20"/>
                <w:szCs w:val="20"/>
              </w:rPr>
              <w:t>(оценка)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jc w:val="center"/>
              <w:rPr>
                <w:sz w:val="20"/>
                <w:szCs w:val="20"/>
              </w:rPr>
            </w:pPr>
            <w:r w:rsidRPr="00BE1937">
              <w:rPr>
                <w:bCs/>
                <w:iCs/>
                <w:sz w:val="20"/>
                <w:szCs w:val="20"/>
              </w:rPr>
              <w:t>2020 год</w:t>
            </w:r>
          </w:p>
        </w:tc>
      </w:tr>
      <w:tr w:rsidR="004B6EE0" w:rsidRPr="002551EB" w:rsidTr="00053662">
        <w:trPr>
          <w:trHeight w:val="34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rPr>
                <w:bCs/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13362C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4 276 064,9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4 367 797,5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EE0" w:rsidRPr="0013362C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4 534 199,1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EE0" w:rsidRPr="0013362C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4 630 569,0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EE0" w:rsidRPr="0013362C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4 736 877,7</w:t>
            </w:r>
          </w:p>
        </w:tc>
      </w:tr>
      <w:tr w:rsidR="004B6EE0" w:rsidRPr="002551EB" w:rsidTr="00053662">
        <w:trPr>
          <w:trHeight w:val="132"/>
        </w:trPr>
        <w:tc>
          <w:tcPr>
            <w:tcW w:w="327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rPr>
                <w:bCs/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Неналоговые доходы</w:t>
            </w:r>
            <w:r w:rsidRPr="00BE1937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13362C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13362C">
              <w:rPr>
                <w:bCs/>
                <w:sz w:val="20"/>
                <w:szCs w:val="20"/>
              </w:rPr>
              <w:t>785 810,9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EA13E7">
              <w:rPr>
                <w:bCs/>
                <w:sz w:val="20"/>
                <w:szCs w:val="20"/>
              </w:rPr>
              <w:t>646 967,8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623 414,0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611 430,8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588 301,7</w:t>
            </w:r>
          </w:p>
        </w:tc>
      </w:tr>
      <w:tr w:rsidR="004B6EE0" w:rsidRPr="002551EB" w:rsidTr="00053662">
        <w:trPr>
          <w:trHeight w:val="1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BE1937" w:rsidRDefault="004B6EE0" w:rsidP="00053662">
            <w:pPr>
              <w:rPr>
                <w:bCs/>
                <w:sz w:val="20"/>
                <w:szCs w:val="20"/>
              </w:rPr>
            </w:pPr>
            <w:r w:rsidRPr="00BE1937">
              <w:rPr>
                <w:bCs/>
                <w:sz w:val="20"/>
                <w:szCs w:val="20"/>
              </w:rPr>
              <w:t>Доля неналоговых доходов в собственных доходах бюджета,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EA13E7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E0" w:rsidRPr="00C3798A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C3798A" w:rsidRDefault="004B6EE0" w:rsidP="00053662">
            <w:pPr>
              <w:jc w:val="center"/>
              <w:rPr>
                <w:bCs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E0" w:rsidRPr="002551EB" w:rsidRDefault="004B6EE0" w:rsidP="00053662">
            <w:pPr>
              <w:jc w:val="center"/>
              <w:rPr>
                <w:bCs/>
                <w:color w:val="0070C0"/>
                <w:sz w:val="20"/>
                <w:szCs w:val="20"/>
              </w:rPr>
            </w:pPr>
            <w:r w:rsidRPr="00C3798A">
              <w:rPr>
                <w:bCs/>
                <w:sz w:val="20"/>
                <w:szCs w:val="20"/>
              </w:rPr>
              <w:t>12,4</w:t>
            </w:r>
          </w:p>
        </w:tc>
      </w:tr>
    </w:tbl>
    <w:p w:rsidR="004B6EE0" w:rsidRPr="002551EB" w:rsidRDefault="004B6EE0" w:rsidP="004B6EE0">
      <w:pPr>
        <w:ind w:firstLine="567"/>
        <w:jc w:val="both"/>
        <w:rPr>
          <w:b/>
          <w:color w:val="0070C0"/>
          <w:sz w:val="16"/>
          <w:szCs w:val="16"/>
        </w:rPr>
      </w:pP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proofErr w:type="gramStart"/>
      <w:r w:rsidRPr="007B2C4C">
        <w:rPr>
          <w:sz w:val="25"/>
          <w:szCs w:val="25"/>
        </w:rPr>
        <w:t>Сокращение доли неналоговых доходов к данным отчета за 2016 год и оценки на 2017 год обусловлено не только увеличением объема собственных доходов (за счет роста налоговых доходов), но и уменьшением объема поступлений неналоговых доходов: в 2018 году – на 162 396,9 тыс. руб. (на 20,7%) и на 23 553,8 тыс. руб. (на 3,6%), соответственно;</w:t>
      </w:r>
      <w:proofErr w:type="gramEnd"/>
      <w:r w:rsidRPr="007B2C4C">
        <w:rPr>
          <w:sz w:val="25"/>
          <w:szCs w:val="25"/>
        </w:rPr>
        <w:t xml:space="preserve"> в 2019 году – на 174 380,1 </w:t>
      </w:r>
      <w:proofErr w:type="spellStart"/>
      <w:r w:rsidRPr="007B2C4C">
        <w:rPr>
          <w:sz w:val="25"/>
          <w:szCs w:val="25"/>
        </w:rPr>
        <w:t>тыс</w:t>
      </w:r>
      <w:proofErr w:type="gramStart"/>
      <w:r w:rsidRPr="007B2C4C">
        <w:rPr>
          <w:sz w:val="25"/>
          <w:szCs w:val="25"/>
        </w:rPr>
        <w:t>.р</w:t>
      </w:r>
      <w:proofErr w:type="gramEnd"/>
      <w:r w:rsidRPr="007B2C4C">
        <w:rPr>
          <w:sz w:val="25"/>
          <w:szCs w:val="25"/>
        </w:rPr>
        <w:t>уб</w:t>
      </w:r>
      <w:proofErr w:type="spellEnd"/>
      <w:r w:rsidRPr="007B2C4C">
        <w:rPr>
          <w:sz w:val="25"/>
          <w:szCs w:val="25"/>
        </w:rPr>
        <w:t xml:space="preserve">. (на 22,2%) и на 35 537,0 </w:t>
      </w:r>
      <w:proofErr w:type="spellStart"/>
      <w:r w:rsidRPr="007B2C4C">
        <w:rPr>
          <w:sz w:val="25"/>
          <w:szCs w:val="25"/>
        </w:rPr>
        <w:t>тыс.руб</w:t>
      </w:r>
      <w:proofErr w:type="spellEnd"/>
      <w:r w:rsidRPr="007B2C4C">
        <w:rPr>
          <w:sz w:val="25"/>
          <w:szCs w:val="25"/>
        </w:rPr>
        <w:t xml:space="preserve">. (на 5,5%), соответственно; </w:t>
      </w:r>
      <w:r w:rsidR="00205926">
        <w:rPr>
          <w:sz w:val="25"/>
          <w:szCs w:val="25"/>
        </w:rPr>
        <w:t xml:space="preserve">в 2020 году – на 197 509,2 </w:t>
      </w:r>
      <w:proofErr w:type="spellStart"/>
      <w:r w:rsidR="00205926">
        <w:rPr>
          <w:sz w:val="25"/>
          <w:szCs w:val="25"/>
        </w:rPr>
        <w:t>тыс.</w:t>
      </w:r>
      <w:r w:rsidRPr="007B2C4C">
        <w:rPr>
          <w:sz w:val="25"/>
          <w:szCs w:val="25"/>
        </w:rPr>
        <w:t>руб</w:t>
      </w:r>
      <w:proofErr w:type="spellEnd"/>
      <w:r w:rsidRPr="007B2C4C">
        <w:rPr>
          <w:sz w:val="25"/>
          <w:szCs w:val="25"/>
        </w:rPr>
        <w:t xml:space="preserve">. (на 25,1%) и </w:t>
      </w:r>
      <w:r w:rsidR="00205926">
        <w:rPr>
          <w:sz w:val="25"/>
          <w:szCs w:val="25"/>
        </w:rPr>
        <w:t xml:space="preserve">на 58 666,1 </w:t>
      </w:r>
      <w:proofErr w:type="spellStart"/>
      <w:r w:rsidR="00205926">
        <w:rPr>
          <w:sz w:val="25"/>
          <w:szCs w:val="25"/>
        </w:rPr>
        <w:t>тыс.руб</w:t>
      </w:r>
      <w:proofErr w:type="spellEnd"/>
      <w:r w:rsidR="00205926">
        <w:rPr>
          <w:sz w:val="25"/>
          <w:szCs w:val="25"/>
        </w:rPr>
        <w:t>. (на 9,1%)</w:t>
      </w:r>
      <w:r w:rsidRPr="007B2C4C">
        <w:rPr>
          <w:sz w:val="25"/>
          <w:szCs w:val="25"/>
        </w:rPr>
        <w:t xml:space="preserve"> соответственно.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Согласно прогнозу поступления доходов наибольший темп снижения среди неналоговых поступлений в 2018 году по сравнению с данными оценки за 2017 год отмечается по доходам от продажи материальных и нематериальных активов с удельным весом в общей сумме неналоговых поступлений 18,6% (на 33 946,6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или на 22,6%), а также доходам от использования имущества, находящегося в государственной и муниципальной собственности, с удельным весом в общей сумме неналоговых поступлений 53,4% (на 13 970,6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или на 4,0%). </w:t>
      </w:r>
    </w:p>
    <w:p w:rsidR="004B6EE0" w:rsidRPr="007B2C4C" w:rsidRDefault="004B6EE0" w:rsidP="004B6EE0">
      <w:pPr>
        <w:ind w:firstLine="567"/>
        <w:jc w:val="both"/>
        <w:rPr>
          <w:b/>
          <w:bCs/>
          <w:color w:val="0070C0"/>
          <w:sz w:val="16"/>
          <w:szCs w:val="16"/>
          <w:lang w:eastAsia="en-US"/>
        </w:rPr>
      </w:pPr>
    </w:p>
    <w:p w:rsidR="004B6EE0" w:rsidRPr="007B2C4C" w:rsidRDefault="004B6EE0" w:rsidP="004B6EE0">
      <w:pPr>
        <w:ind w:firstLine="567"/>
        <w:jc w:val="both"/>
        <w:rPr>
          <w:b/>
          <w:bCs/>
          <w:i/>
          <w:sz w:val="25"/>
          <w:szCs w:val="25"/>
          <w:lang w:eastAsia="en-US"/>
        </w:rPr>
      </w:pPr>
      <w:r w:rsidRPr="007B2C4C">
        <w:rPr>
          <w:b/>
          <w:bCs/>
          <w:i/>
          <w:sz w:val="25"/>
          <w:szCs w:val="25"/>
          <w:lang w:eastAsia="en-US"/>
        </w:rPr>
        <w:t>Доходы от использования имущества, находящегося в муниципальной собственности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Доходы от использования имущества, находящегося в муниципальной собственности, подлежащие зачислению в городской бюджет, прогнозируются на 2018 год в сумме  332 593,8 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., на 2019 год – в сумме 327 124,6 тыс. руб., на 2020 год – в сумме  318 748,2 </w:t>
      </w:r>
      <w:proofErr w:type="spellStart"/>
      <w:r w:rsidRPr="007B2C4C">
        <w:rPr>
          <w:sz w:val="25"/>
          <w:szCs w:val="25"/>
          <w:lang w:eastAsia="en-US"/>
        </w:rPr>
        <w:t>тыс.руб</w:t>
      </w:r>
      <w:proofErr w:type="spellEnd"/>
      <w:r w:rsidRPr="007B2C4C">
        <w:rPr>
          <w:sz w:val="25"/>
          <w:szCs w:val="25"/>
          <w:lang w:eastAsia="en-US"/>
        </w:rPr>
        <w:t>.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Согласно прогнозу поступлений на 2018 год наибольший удельный вес (73,5%) в общей сумме доходов от использования имущества, находящегося в муниципальной собственности, занимают доходы, получаемые в виде арендной либо иной платы за передачу в возмездное пользование муниципального имущества. Прогноз поступлений данного вида доходов на 2018 год составляет 244 456,6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или 96,1% от оценки за 2017 год. Сокращение поступлений доходов, получаемых в виде арендной либо иной платы за передачу в возмездное пользование муниципального имущества, на 10 001,1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от оценки за 2017 год связано с уменьшением прогнозных значений по поступлению двух доходных источников, удельный вес которых в общем объеме прогнозных поступлений данного вида доходов составляет 87,4%. Так, согласно данным прогноза на 9 316,6 </w:t>
      </w:r>
      <w:proofErr w:type="spellStart"/>
      <w:r w:rsidRPr="007B2C4C">
        <w:rPr>
          <w:sz w:val="25"/>
          <w:szCs w:val="25"/>
          <w:lang w:eastAsia="en-US"/>
        </w:rPr>
        <w:t>тыс.руб</w:t>
      </w:r>
      <w:proofErr w:type="spellEnd"/>
      <w:r w:rsidRPr="007B2C4C">
        <w:rPr>
          <w:sz w:val="25"/>
          <w:szCs w:val="25"/>
          <w:lang w:eastAsia="en-US"/>
        </w:rPr>
        <w:t xml:space="preserve">. или на 10,0% сократятся поступления по доходам от сдачи в аренду имущества, составляющего казну городских округов (за исключением земельных участков); на 5 000,0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или на 3,7% - по доходам, получаемым в виде арендной платы за земельные участки, государственная собственность на которые не разграничена и </w:t>
      </w:r>
      <w:r w:rsidRPr="007B2C4C">
        <w:rPr>
          <w:sz w:val="25"/>
          <w:szCs w:val="25"/>
          <w:lang w:eastAsia="en-US"/>
        </w:rPr>
        <w:lastRenderedPageBreak/>
        <w:t xml:space="preserve">которые расположены в границах городских округов, а также средств от продажи права на заключение договоров аренды указанных земельных участков. Вместе с тем, на 4 370,9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 или на 17,5% прогнозируется рост доходов, получаемых в виде арендной платы, а также средств от продажи права на заключение  договоров аренды на земли, находящиеся в собственности городских округов. 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>В 2018 году со снижением к данным оценке на 2017 год спрогнозировано поступление: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-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округам, - на 1 401,1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>. или на 15,4%;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- доходов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округами, - на 1 431,2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>. или на 57,2%;</w:t>
      </w:r>
    </w:p>
    <w:p w:rsidR="004B6EE0" w:rsidRPr="007B2C4C" w:rsidRDefault="004B6EE0" w:rsidP="004B6EE0">
      <w:pPr>
        <w:ind w:firstLine="567"/>
        <w:jc w:val="both"/>
        <w:rPr>
          <w:color w:val="0070C0"/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- доходов от использования имущества и прав, находящихся в собственности муниципального образования «Город Архангельск»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- на 1 137,2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>. или на 1,4%.</w:t>
      </w:r>
    </w:p>
    <w:p w:rsidR="004B6EE0" w:rsidRPr="007B2C4C" w:rsidRDefault="004B6EE0" w:rsidP="004B6EE0">
      <w:pPr>
        <w:tabs>
          <w:tab w:val="left" w:pos="567"/>
          <w:tab w:val="left" w:pos="993"/>
          <w:tab w:val="left" w:pos="1134"/>
        </w:tabs>
        <w:jc w:val="both"/>
        <w:rPr>
          <w:color w:val="0070C0"/>
          <w:sz w:val="16"/>
          <w:szCs w:val="16"/>
        </w:rPr>
      </w:pPr>
    </w:p>
    <w:p w:rsidR="004B6EE0" w:rsidRPr="007B2C4C" w:rsidRDefault="004B6EE0" w:rsidP="004B6EE0">
      <w:pPr>
        <w:tabs>
          <w:tab w:val="left" w:pos="567"/>
        </w:tabs>
        <w:ind w:firstLine="567"/>
        <w:rPr>
          <w:b/>
          <w:bCs/>
          <w:i/>
          <w:iCs/>
          <w:sz w:val="25"/>
          <w:szCs w:val="25"/>
          <w:lang w:eastAsia="en-US"/>
        </w:rPr>
      </w:pPr>
      <w:r w:rsidRPr="007B2C4C">
        <w:rPr>
          <w:b/>
          <w:bCs/>
          <w:i/>
          <w:sz w:val="25"/>
          <w:szCs w:val="25"/>
          <w:lang w:eastAsia="en-US"/>
        </w:rPr>
        <w:t>Плата за негативное воздействие на окружающую среду</w:t>
      </w:r>
      <w:r w:rsidRPr="007B2C4C">
        <w:rPr>
          <w:b/>
          <w:bCs/>
          <w:i/>
          <w:iCs/>
          <w:sz w:val="25"/>
          <w:szCs w:val="25"/>
          <w:lang w:eastAsia="en-US"/>
        </w:rPr>
        <w:t xml:space="preserve"> </w:t>
      </w:r>
    </w:p>
    <w:p w:rsidR="004B6EE0" w:rsidRPr="007B2C4C" w:rsidRDefault="004B6EE0" w:rsidP="004B6EE0">
      <w:pPr>
        <w:tabs>
          <w:tab w:val="left" w:pos="567"/>
          <w:tab w:val="left" w:pos="993"/>
          <w:tab w:val="left" w:pos="1134"/>
        </w:tabs>
        <w:ind w:firstLine="567"/>
        <w:jc w:val="both"/>
        <w:rPr>
          <w:color w:val="0070C0"/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Согласно пояснительной записке </w:t>
      </w:r>
      <w:proofErr w:type="gramStart"/>
      <w:r w:rsidRPr="007B2C4C">
        <w:rPr>
          <w:sz w:val="25"/>
          <w:szCs w:val="25"/>
          <w:lang w:eastAsia="en-US"/>
        </w:rPr>
        <w:t>к проекту решения прогноз поступления платы за негативное воздействие на окружающую среду рассчитан Управлением Федеральной службы по надзору в сфере</w:t>
      </w:r>
      <w:proofErr w:type="gramEnd"/>
      <w:r w:rsidRPr="007B2C4C">
        <w:rPr>
          <w:sz w:val="25"/>
          <w:szCs w:val="25"/>
          <w:lang w:eastAsia="en-US"/>
        </w:rPr>
        <w:t xml:space="preserve"> природопользования по Архангельской области</w:t>
      </w:r>
      <w:r w:rsidRPr="007B2C4C">
        <w:rPr>
          <w:color w:val="0070C0"/>
          <w:sz w:val="25"/>
          <w:szCs w:val="25"/>
          <w:lang w:eastAsia="en-US"/>
        </w:rPr>
        <w:t xml:space="preserve"> </w:t>
      </w:r>
      <w:r w:rsidRPr="007B2C4C">
        <w:rPr>
          <w:sz w:val="25"/>
          <w:szCs w:val="25"/>
          <w:lang w:eastAsia="en-US"/>
        </w:rPr>
        <w:t xml:space="preserve">на 2018 год в сумме 12 604,4 тыс. руб., на плановый период 2019 и 2020 годов  - в сумме 13 607,0 тыс. руб. ежегодно. Данный вид неналоговых доходов к показателю оценки на 2017 год (13 267,7 тыс. руб.) спрогнозирован: на 2018 год - на уровне 95%, на плановый период 2019 и 2020 годов  - на уровне 102,6%. </w:t>
      </w:r>
    </w:p>
    <w:p w:rsidR="004B6EE0" w:rsidRPr="00205926" w:rsidRDefault="004B6EE0" w:rsidP="004B6EE0">
      <w:pPr>
        <w:tabs>
          <w:tab w:val="left" w:pos="993"/>
        </w:tabs>
        <w:ind w:firstLine="567"/>
        <w:jc w:val="both"/>
        <w:rPr>
          <w:color w:val="0070C0"/>
          <w:sz w:val="16"/>
          <w:szCs w:val="16"/>
          <w:lang w:eastAsia="en-US"/>
        </w:rPr>
      </w:pPr>
    </w:p>
    <w:p w:rsidR="004B6EE0" w:rsidRPr="007B2C4C" w:rsidRDefault="004B6EE0" w:rsidP="004B6EE0">
      <w:pPr>
        <w:ind w:firstLine="567"/>
        <w:jc w:val="both"/>
        <w:rPr>
          <w:i/>
          <w:sz w:val="25"/>
          <w:szCs w:val="25"/>
          <w:lang w:eastAsia="en-US"/>
        </w:rPr>
      </w:pPr>
      <w:r w:rsidRPr="007B2C4C">
        <w:rPr>
          <w:b/>
          <w:bCs/>
          <w:i/>
          <w:sz w:val="25"/>
          <w:szCs w:val="25"/>
          <w:lang w:eastAsia="en-US"/>
        </w:rPr>
        <w:t>Доходы от оказания платных услуг (работ) и компенсации затрат государства</w:t>
      </w:r>
    </w:p>
    <w:p w:rsidR="004B6EE0" w:rsidRPr="007B2C4C" w:rsidRDefault="004B6EE0" w:rsidP="004B6EE0">
      <w:pPr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Прогноз поступления доходов от оказания платных услуг (работ) и компенсации затрат государства на 2018 год составляет 75 474,5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 xml:space="preserve">., на 2019 год – 75 428,7 тыс. руб., на 2020 год - 75 357,3 тыс. руб. Согласно пояснительной записке к проекту решения прогноз данного вида доходов рассчитан главными администраторами доходов городского бюджета исходя из динамики поступлений доходов от оказания платных услуг (работ) и компенсаций затрат государства за предыдущие годы. </w:t>
      </w:r>
    </w:p>
    <w:p w:rsidR="004B6EE0" w:rsidRPr="007B2C4C" w:rsidRDefault="004B6EE0" w:rsidP="004B6EE0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7B2C4C">
        <w:rPr>
          <w:sz w:val="25"/>
          <w:szCs w:val="25"/>
          <w:lang w:eastAsia="en-US"/>
        </w:rPr>
        <w:t>Прогнозные поступления доходов от оказания платных услуг (работ) и компенсации затрат государства в 2018 году к показателю отчета за 2016 год (24 640,6 тыс. руб.) увеличены в 3 раза, к показателю оценки за 2017 год – в 1,6 раза.</w:t>
      </w:r>
      <w:r w:rsidRPr="007B2C4C">
        <w:rPr>
          <w:color w:val="0070C0"/>
          <w:sz w:val="25"/>
          <w:szCs w:val="25"/>
          <w:lang w:eastAsia="en-US"/>
        </w:rPr>
        <w:t xml:space="preserve"> </w:t>
      </w:r>
      <w:proofErr w:type="gramStart"/>
      <w:r w:rsidRPr="007B2C4C">
        <w:rPr>
          <w:sz w:val="25"/>
          <w:szCs w:val="25"/>
          <w:lang w:eastAsia="en-US"/>
        </w:rPr>
        <w:t>Основной причиной роста прогнозных поступлений доходов от оказания платных услуг (работ) и компенсации затрат государства в 2018 году и плановом периоде 2019 и 2020 годов является</w:t>
      </w:r>
      <w:r w:rsidRPr="007B2C4C">
        <w:rPr>
          <w:color w:val="0070C0"/>
          <w:sz w:val="25"/>
          <w:szCs w:val="25"/>
          <w:lang w:eastAsia="en-US"/>
        </w:rPr>
        <w:t xml:space="preserve"> </w:t>
      </w:r>
      <w:r w:rsidRPr="007B2C4C">
        <w:rPr>
          <w:sz w:val="25"/>
          <w:szCs w:val="25"/>
          <w:lang w:eastAsia="en-US"/>
        </w:rPr>
        <w:t>прогнозируемое поступление прочих доходов от оказания платных услуг (работ), оказываемых муниципальным казенным учреждением «Центр бухгалтерского и экономического развития», объем которых на бюджетный цикл 2018-2020 годов составляет 63 171,7 тыс. руб. ежегодно.</w:t>
      </w:r>
      <w:proofErr w:type="gramEnd"/>
      <w:r w:rsidRPr="007B2C4C">
        <w:rPr>
          <w:sz w:val="25"/>
          <w:szCs w:val="25"/>
          <w:lang w:eastAsia="en-US"/>
        </w:rPr>
        <w:t xml:space="preserve"> Доля прочих доходов от оказания платных услуг (работ), оказываемых муниципальным казенным учреждением «Центр бухгалтерского и экономического развития» в общем объеме доходов от оказания платных услуг (работ) и компенсации затрат государства по прогнозу на 2018 год составит 83,7%, в 2019 и 2020 году – 83,8%.</w:t>
      </w:r>
    </w:p>
    <w:p w:rsidR="004B6EE0" w:rsidRDefault="004B6EE0" w:rsidP="004B6EE0">
      <w:pPr>
        <w:rPr>
          <w:color w:val="0070C0"/>
          <w:sz w:val="25"/>
          <w:szCs w:val="25"/>
          <w:lang w:eastAsia="en-US"/>
        </w:rPr>
      </w:pPr>
    </w:p>
    <w:p w:rsidR="004B6EE0" w:rsidRPr="007B2C4C" w:rsidRDefault="004B6EE0" w:rsidP="004B6EE0">
      <w:pPr>
        <w:ind w:firstLine="567"/>
        <w:rPr>
          <w:b/>
          <w:bCs/>
          <w:i/>
          <w:sz w:val="25"/>
          <w:szCs w:val="25"/>
        </w:rPr>
      </w:pPr>
      <w:r w:rsidRPr="007B2C4C">
        <w:rPr>
          <w:b/>
          <w:bCs/>
          <w:i/>
          <w:sz w:val="25"/>
          <w:szCs w:val="25"/>
        </w:rPr>
        <w:t>Доходы от продажи материальных и нематериальных активов</w:t>
      </w:r>
    </w:p>
    <w:p w:rsidR="004B6EE0" w:rsidRPr="007B2C4C" w:rsidRDefault="004B6EE0" w:rsidP="004B6EE0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lastRenderedPageBreak/>
        <w:t>Согласно прогнозу поступление доходов от продажи материальных и нематериальных активов планируется: на 2018 год в размере 116 050,1 тыс. руб., на 2019 год – в размере 108 915,0 тыс. руб., на 2020 год – в размере 94 437,1 тыс. руб.</w:t>
      </w:r>
    </w:p>
    <w:p w:rsidR="004B6EE0" w:rsidRPr="007B2C4C" w:rsidRDefault="004B6EE0" w:rsidP="004B6EE0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sz w:val="25"/>
          <w:szCs w:val="25"/>
          <w:lang w:eastAsia="en-US"/>
        </w:rPr>
      </w:pPr>
      <w:proofErr w:type="gramStart"/>
      <w:r w:rsidRPr="007B2C4C">
        <w:rPr>
          <w:sz w:val="25"/>
          <w:szCs w:val="25"/>
          <w:lang w:eastAsia="en-US"/>
        </w:rPr>
        <w:t>Доходы от продажи материальных и нематериальных активов на каждый год бюджетного цикла 2018-2020 годов динамично снижаются к оценке исполнения на 2017 год: на 2018 год на 33 946,6 тыс. руб. или на 22,6%, на 2019 год - на 41 081,7 тыс. руб. или на 27,4%, на 2020 год – на 55 559,6 тыс. руб. или на 37,0%. Снижение общего прогнозного объема по</w:t>
      </w:r>
      <w:proofErr w:type="gramEnd"/>
      <w:r w:rsidRPr="007B2C4C">
        <w:rPr>
          <w:sz w:val="25"/>
          <w:szCs w:val="25"/>
          <w:lang w:eastAsia="en-US"/>
        </w:rPr>
        <w:t xml:space="preserve"> поступлению доходов от продажи материальных и нематериальных </w:t>
      </w:r>
      <w:proofErr w:type="gramStart"/>
      <w:r w:rsidRPr="007B2C4C">
        <w:rPr>
          <w:sz w:val="25"/>
          <w:szCs w:val="25"/>
          <w:lang w:eastAsia="en-US"/>
        </w:rPr>
        <w:t>активов</w:t>
      </w:r>
      <w:proofErr w:type="gramEnd"/>
      <w:r w:rsidRPr="007B2C4C">
        <w:rPr>
          <w:sz w:val="25"/>
          <w:szCs w:val="25"/>
          <w:lang w:eastAsia="en-US"/>
        </w:rPr>
        <w:t xml:space="preserve"> прежде всего связано с сокращением рассчитанного главным администратором доходов (департамент муниципального имущества Администрации МО «Город Архангельск») прогноза поступлений от реализации имущества, находящегося в собственности МО «Город Архангельск»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имуществу, доля которых в общем объеме данного вида доходов в 2018 году составляет 91,5%, в 2019 году – 92,3%, в 2020 году – 93,0%. </w:t>
      </w:r>
    </w:p>
    <w:p w:rsidR="004B6EE0" w:rsidRPr="00205926" w:rsidRDefault="004B6EE0" w:rsidP="004B6EE0">
      <w:pPr>
        <w:ind w:firstLine="567"/>
        <w:rPr>
          <w:color w:val="0070C0"/>
          <w:sz w:val="16"/>
          <w:szCs w:val="16"/>
        </w:rPr>
      </w:pPr>
    </w:p>
    <w:p w:rsidR="004B6EE0" w:rsidRPr="007B2C4C" w:rsidRDefault="004B6EE0" w:rsidP="004B6EE0">
      <w:pPr>
        <w:ind w:firstLine="567"/>
        <w:rPr>
          <w:b/>
          <w:bCs/>
          <w:i/>
          <w:sz w:val="25"/>
          <w:szCs w:val="25"/>
        </w:rPr>
      </w:pPr>
      <w:r w:rsidRPr="007B2C4C">
        <w:rPr>
          <w:b/>
          <w:bCs/>
          <w:i/>
          <w:sz w:val="25"/>
          <w:szCs w:val="25"/>
        </w:rPr>
        <w:t>Штрафы, санкции, возмещение ущерба</w:t>
      </w:r>
    </w:p>
    <w:p w:rsidR="004B6EE0" w:rsidRPr="007B2C4C" w:rsidRDefault="004B6EE0" w:rsidP="004B6EE0">
      <w:pPr>
        <w:ind w:firstLine="567"/>
        <w:jc w:val="both"/>
        <w:rPr>
          <w:color w:val="0070C0"/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 xml:space="preserve">Прогнозный объем поступлений штрафов, санкций, возмещения ущерба, рассчитанный главными администраторами доходов городского бюджета, составляет: 84 264,2  </w:t>
      </w:r>
      <w:proofErr w:type="spellStart"/>
      <w:r w:rsidRPr="007B2C4C">
        <w:rPr>
          <w:sz w:val="25"/>
          <w:szCs w:val="25"/>
          <w:lang w:eastAsia="en-US"/>
        </w:rPr>
        <w:t>тыс</w:t>
      </w:r>
      <w:proofErr w:type="gramStart"/>
      <w:r w:rsidRPr="007B2C4C">
        <w:rPr>
          <w:sz w:val="25"/>
          <w:szCs w:val="25"/>
          <w:lang w:eastAsia="en-US"/>
        </w:rPr>
        <w:t>.р</w:t>
      </w:r>
      <w:proofErr w:type="gramEnd"/>
      <w:r w:rsidRPr="007B2C4C">
        <w:rPr>
          <w:sz w:val="25"/>
          <w:szCs w:val="25"/>
          <w:lang w:eastAsia="en-US"/>
        </w:rPr>
        <w:t>уб</w:t>
      </w:r>
      <w:proofErr w:type="spellEnd"/>
      <w:r w:rsidRPr="007B2C4C">
        <w:rPr>
          <w:sz w:val="25"/>
          <w:szCs w:val="25"/>
          <w:lang w:eastAsia="en-US"/>
        </w:rPr>
        <w:t>. - на 2018 год, 80 441,6 тыс. руб. – на 2019 год и 80 238,2 тыс. руб. на 2020 год, или 96,5%, 92,1% и 91,5%, соответственно, к оценке за 2017 год.</w:t>
      </w:r>
      <w:r w:rsidRPr="007B2C4C">
        <w:rPr>
          <w:color w:val="0070C0"/>
          <w:sz w:val="25"/>
          <w:szCs w:val="25"/>
          <w:lang w:eastAsia="en-US"/>
        </w:rPr>
        <w:t xml:space="preserve"> </w:t>
      </w:r>
    </w:p>
    <w:p w:rsidR="004B6EE0" w:rsidRPr="00205926" w:rsidRDefault="004B6EE0" w:rsidP="004B6EE0">
      <w:pPr>
        <w:autoSpaceDE w:val="0"/>
        <w:autoSpaceDN w:val="0"/>
        <w:adjustRightInd w:val="0"/>
        <w:ind w:firstLine="540"/>
        <w:jc w:val="both"/>
        <w:rPr>
          <w:color w:val="0070C0"/>
          <w:sz w:val="16"/>
          <w:szCs w:val="16"/>
          <w:highlight w:val="yellow"/>
          <w:lang w:eastAsia="en-US"/>
        </w:rPr>
      </w:pPr>
    </w:p>
    <w:p w:rsidR="004B6EE0" w:rsidRPr="007B2C4C" w:rsidRDefault="00205926" w:rsidP="004B6E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205926">
        <w:rPr>
          <w:b/>
          <w:sz w:val="25"/>
          <w:szCs w:val="25"/>
          <w:lang w:eastAsia="en-US"/>
        </w:rPr>
        <w:t>3.3.2.</w:t>
      </w:r>
      <w:r w:rsidRPr="00205926">
        <w:rPr>
          <w:sz w:val="25"/>
          <w:szCs w:val="25"/>
          <w:lang w:eastAsia="en-US"/>
        </w:rPr>
        <w:t xml:space="preserve"> </w:t>
      </w:r>
      <w:r w:rsidR="004B6EE0" w:rsidRPr="007B2C4C">
        <w:rPr>
          <w:sz w:val="25"/>
          <w:szCs w:val="25"/>
          <w:lang w:eastAsia="en-US"/>
        </w:rPr>
        <w:t xml:space="preserve">Частью 1 статьи 160.1 </w:t>
      </w:r>
      <w:r w:rsidR="00C42A53">
        <w:rPr>
          <w:sz w:val="25"/>
          <w:szCs w:val="25"/>
          <w:lang w:eastAsia="en-US"/>
        </w:rPr>
        <w:t>БК</w:t>
      </w:r>
      <w:r w:rsidR="004B6EE0" w:rsidRPr="007B2C4C">
        <w:rPr>
          <w:sz w:val="25"/>
          <w:szCs w:val="25"/>
          <w:lang w:eastAsia="en-US"/>
        </w:rPr>
        <w:t xml:space="preserve"> РФ к бюджетным полномочиям главного администратора доходов </w:t>
      </w:r>
      <w:proofErr w:type="gramStart"/>
      <w:r w:rsidR="004B6EE0" w:rsidRPr="007B2C4C">
        <w:rPr>
          <w:sz w:val="25"/>
          <w:szCs w:val="25"/>
          <w:lang w:eastAsia="en-US"/>
        </w:rPr>
        <w:t>отнесен</w:t>
      </w:r>
      <w:r w:rsidR="007B2C4C" w:rsidRPr="007B2C4C">
        <w:rPr>
          <w:sz w:val="25"/>
          <w:szCs w:val="25"/>
          <w:lang w:eastAsia="en-US"/>
        </w:rPr>
        <w:t>о</w:t>
      </w:r>
      <w:proofErr w:type="gramEnd"/>
      <w:r w:rsidR="004B6EE0" w:rsidRPr="007B2C4C">
        <w:rPr>
          <w:sz w:val="25"/>
          <w:szCs w:val="25"/>
          <w:lang w:eastAsia="en-US"/>
        </w:rPr>
        <w:t xml:space="preserve"> в том числе </w:t>
      </w:r>
      <w:r w:rsidR="004B6EE0" w:rsidRPr="007B2C4C">
        <w:rPr>
          <w:rFonts w:eastAsiaTheme="minorHAnsi"/>
          <w:sz w:val="25"/>
          <w:szCs w:val="25"/>
          <w:lang w:eastAsia="en-US"/>
        </w:rPr>
        <w:t xml:space="preserve">утверждение методики прогнозирования поступлений доходов в бюджет в соответствии с общими </w:t>
      </w:r>
      <w:hyperlink r:id="rId15" w:history="1">
        <w:r w:rsidR="004B6EE0" w:rsidRPr="007B2C4C">
          <w:rPr>
            <w:rFonts w:eastAsiaTheme="minorHAnsi"/>
            <w:sz w:val="25"/>
            <w:szCs w:val="25"/>
            <w:lang w:eastAsia="en-US"/>
          </w:rPr>
          <w:t>требованиями</w:t>
        </w:r>
      </w:hyperlink>
      <w:r w:rsidR="004B6EE0" w:rsidRPr="007B2C4C">
        <w:rPr>
          <w:rFonts w:eastAsiaTheme="minorHAnsi"/>
          <w:sz w:val="25"/>
          <w:szCs w:val="25"/>
          <w:lang w:eastAsia="en-US"/>
        </w:rPr>
        <w:t xml:space="preserve"> к такой методике, установленными Правительством Российской Федерации.</w:t>
      </w:r>
    </w:p>
    <w:p w:rsidR="004B6EE0" w:rsidRPr="007B2C4C" w:rsidRDefault="004B6EE0" w:rsidP="004B6EE0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7B2C4C">
        <w:rPr>
          <w:sz w:val="25"/>
          <w:szCs w:val="25"/>
          <w:lang w:eastAsia="en-US"/>
        </w:rPr>
        <w:t>Согласно части 2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РФ от 23.06.2016 №574, главный администратор доходов разрабатывает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 Частями 6 и 7 вышеуказанных Общих требований определены методы, а также источники данных, применяемые для расчета прогнозируемого объема налоговых доходов и прочих доходов.</w:t>
      </w:r>
      <w:r w:rsidRPr="007B2C4C">
        <w:rPr>
          <w:rFonts w:eastAsiaTheme="minorHAnsi"/>
          <w:sz w:val="25"/>
          <w:szCs w:val="25"/>
          <w:lang w:eastAsia="en-US"/>
        </w:rPr>
        <w:t xml:space="preserve"> </w:t>
      </w:r>
    </w:p>
    <w:p w:rsidR="004B6EE0" w:rsidRPr="007B2C4C" w:rsidRDefault="004B6EE0" w:rsidP="004B6EE0">
      <w:pPr>
        <w:ind w:firstLine="567"/>
        <w:jc w:val="both"/>
        <w:rPr>
          <w:rFonts w:eastAsiaTheme="minorHAnsi"/>
          <w:color w:val="0070C0"/>
          <w:sz w:val="25"/>
          <w:szCs w:val="25"/>
          <w:lang w:eastAsia="en-US"/>
        </w:rPr>
      </w:pPr>
      <w:proofErr w:type="gramStart"/>
      <w:r w:rsidRPr="007B2C4C">
        <w:rPr>
          <w:rFonts w:eastAsiaTheme="minorHAnsi"/>
          <w:sz w:val="25"/>
          <w:szCs w:val="25"/>
          <w:lang w:eastAsia="en-US"/>
        </w:rPr>
        <w:t>В связи с отсутствием у контрольно-счетной палаты утвержденных главными администраторами доходов городского бюджета методик прогнозирования поступлений доходов в городской бюджет, а также необходимых для их прогнозирования документов и материалов сделать вывод о возможном завышении (занижении) прогнозных показателей доходной части бюджета на 2018 год и на плановый период 2019 и 2020 годов не представляется возможным.</w:t>
      </w:r>
      <w:r w:rsidRPr="007B2C4C">
        <w:rPr>
          <w:rFonts w:eastAsiaTheme="minorHAnsi"/>
          <w:color w:val="0070C0"/>
          <w:sz w:val="25"/>
          <w:szCs w:val="25"/>
          <w:lang w:eastAsia="en-US"/>
        </w:rPr>
        <w:t xml:space="preserve"> </w:t>
      </w:r>
      <w:proofErr w:type="gramEnd"/>
    </w:p>
    <w:p w:rsidR="004B6EE0" w:rsidRPr="007B2C4C" w:rsidRDefault="004B6EE0" w:rsidP="004B6EE0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7B2C4C">
        <w:rPr>
          <w:rFonts w:eastAsiaTheme="minorHAnsi"/>
          <w:sz w:val="25"/>
          <w:szCs w:val="25"/>
          <w:lang w:eastAsia="en-US"/>
        </w:rPr>
        <w:t xml:space="preserve">Вместе с тем, согласно оценке объем поступлений налоговых и неналоговых доходов за 2017 год составляет 101,7% (4 367 797,5 </w:t>
      </w:r>
      <w:proofErr w:type="spellStart"/>
      <w:r w:rsidRPr="007B2C4C">
        <w:rPr>
          <w:rFonts w:eastAsiaTheme="minorHAnsi"/>
          <w:sz w:val="25"/>
          <w:szCs w:val="25"/>
          <w:lang w:eastAsia="en-US"/>
        </w:rPr>
        <w:t>тыс</w:t>
      </w:r>
      <w:proofErr w:type="gramStart"/>
      <w:r w:rsidRPr="007B2C4C">
        <w:rPr>
          <w:rFonts w:eastAsiaTheme="minorHAnsi"/>
          <w:sz w:val="25"/>
          <w:szCs w:val="25"/>
          <w:lang w:eastAsia="en-US"/>
        </w:rPr>
        <w:t>.р</w:t>
      </w:r>
      <w:proofErr w:type="gramEnd"/>
      <w:r w:rsidRPr="007B2C4C">
        <w:rPr>
          <w:rFonts w:eastAsiaTheme="minorHAnsi"/>
          <w:sz w:val="25"/>
          <w:szCs w:val="25"/>
          <w:lang w:eastAsia="en-US"/>
        </w:rPr>
        <w:t>уб</w:t>
      </w:r>
      <w:proofErr w:type="spellEnd"/>
      <w:r w:rsidRPr="007B2C4C">
        <w:rPr>
          <w:rFonts w:eastAsiaTheme="minorHAnsi"/>
          <w:sz w:val="25"/>
          <w:szCs w:val="25"/>
          <w:lang w:eastAsia="en-US"/>
        </w:rPr>
        <w:t xml:space="preserve">.) к первоначальному прогнозу  (4 296 178,9 </w:t>
      </w:r>
      <w:proofErr w:type="spellStart"/>
      <w:r w:rsidRPr="007B2C4C">
        <w:rPr>
          <w:rFonts w:eastAsiaTheme="minorHAnsi"/>
          <w:sz w:val="25"/>
          <w:szCs w:val="25"/>
          <w:lang w:eastAsia="en-US"/>
        </w:rPr>
        <w:t>тыс.руб</w:t>
      </w:r>
      <w:proofErr w:type="spellEnd"/>
      <w:r w:rsidRPr="007B2C4C">
        <w:rPr>
          <w:rFonts w:eastAsiaTheme="minorHAnsi"/>
          <w:sz w:val="25"/>
          <w:szCs w:val="25"/>
          <w:lang w:eastAsia="en-US"/>
        </w:rPr>
        <w:t>.), в том числе оценка поступлений НДФЛ (удельный вес которого в объеме налоговых доходов – 78,9%, в объеме налоговых и неналоговых доходов – 67,0%) – 101,5 % (2 935 102,5 тыс. руб.) от первоначального прогноза поступлений (</w:t>
      </w:r>
      <w:proofErr w:type="gramStart"/>
      <w:r w:rsidRPr="007B2C4C">
        <w:rPr>
          <w:rFonts w:eastAsiaTheme="minorHAnsi"/>
          <w:sz w:val="25"/>
          <w:szCs w:val="25"/>
          <w:lang w:eastAsia="en-US"/>
        </w:rPr>
        <w:t xml:space="preserve">2 891 074,5 тыс. руб.), что в целом свидетельствует о реалистичности прогноза по налоговым и неналоговым доходам за 2017 год.  </w:t>
      </w:r>
      <w:proofErr w:type="gramEnd"/>
    </w:p>
    <w:p w:rsidR="004B6EE0" w:rsidRDefault="004B6EE0" w:rsidP="004B6EE0">
      <w:pPr>
        <w:ind w:firstLine="567"/>
        <w:jc w:val="both"/>
        <w:rPr>
          <w:b/>
          <w:color w:val="0070C0"/>
          <w:sz w:val="25"/>
          <w:szCs w:val="25"/>
          <w:lang w:eastAsia="en-US"/>
        </w:rPr>
      </w:pPr>
    </w:p>
    <w:p w:rsidR="004B6EE0" w:rsidRPr="00CF60F4" w:rsidRDefault="004B6EE0" w:rsidP="004B6EE0">
      <w:pPr>
        <w:ind w:firstLine="567"/>
        <w:jc w:val="both"/>
        <w:rPr>
          <w:b/>
          <w:spacing w:val="-2"/>
          <w:sz w:val="25"/>
          <w:szCs w:val="25"/>
          <w:lang w:eastAsia="en-US"/>
        </w:rPr>
      </w:pPr>
      <w:r w:rsidRPr="00CF60F4">
        <w:rPr>
          <w:b/>
          <w:lang w:eastAsia="en-US"/>
        </w:rPr>
        <w:t>3.4.</w:t>
      </w:r>
      <w:r w:rsidRPr="00CF60F4">
        <w:rPr>
          <w:lang w:eastAsia="en-US"/>
        </w:rPr>
        <w:t xml:space="preserve"> </w:t>
      </w:r>
      <w:r w:rsidRPr="00CF60F4">
        <w:rPr>
          <w:b/>
          <w:spacing w:val="-2"/>
          <w:sz w:val="25"/>
          <w:szCs w:val="25"/>
          <w:lang w:eastAsia="en-US"/>
        </w:rPr>
        <w:t>Безвозмездные поступления</w:t>
      </w:r>
    </w:p>
    <w:p w:rsidR="004B6EE0" w:rsidRPr="00CF60F4" w:rsidRDefault="004B6EE0" w:rsidP="004B6EE0">
      <w:pPr>
        <w:ind w:firstLine="567"/>
        <w:jc w:val="both"/>
        <w:rPr>
          <w:sz w:val="20"/>
          <w:szCs w:val="20"/>
        </w:rPr>
      </w:pPr>
      <w:r w:rsidRPr="00CF60F4">
        <w:rPr>
          <w:spacing w:val="-2"/>
          <w:sz w:val="25"/>
          <w:szCs w:val="25"/>
          <w:lang w:eastAsia="en-US"/>
        </w:rPr>
        <w:t xml:space="preserve">В проекте решения </w:t>
      </w:r>
      <w:r w:rsidRPr="00CF60F4">
        <w:rPr>
          <w:b/>
          <w:i/>
          <w:spacing w:val="-2"/>
          <w:sz w:val="25"/>
          <w:szCs w:val="25"/>
          <w:lang w:eastAsia="en-US"/>
        </w:rPr>
        <w:t>безвозмездные поступления</w:t>
      </w:r>
      <w:r w:rsidRPr="00CF60F4">
        <w:rPr>
          <w:spacing w:val="-2"/>
          <w:sz w:val="25"/>
          <w:szCs w:val="25"/>
          <w:lang w:eastAsia="en-US"/>
        </w:rPr>
        <w:t xml:space="preserve"> характеризуется следующими данными: </w:t>
      </w:r>
      <w:r w:rsidRPr="00CF60F4">
        <w:rPr>
          <w:sz w:val="25"/>
          <w:szCs w:val="25"/>
        </w:rPr>
        <w:t xml:space="preserve">   </w:t>
      </w:r>
      <w:r w:rsidRPr="00CF60F4">
        <w:rPr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4B6EE0" w:rsidRPr="00C27325" w:rsidRDefault="004B6EE0" w:rsidP="004B6EE0">
      <w:pPr>
        <w:ind w:firstLine="567"/>
        <w:jc w:val="right"/>
        <w:rPr>
          <w:sz w:val="20"/>
          <w:szCs w:val="20"/>
        </w:rPr>
      </w:pPr>
      <w:r w:rsidRPr="00C27325">
        <w:rPr>
          <w:sz w:val="20"/>
          <w:szCs w:val="20"/>
        </w:rPr>
        <w:lastRenderedPageBreak/>
        <w:t>(тыс. руб.)</w:t>
      </w:r>
    </w:p>
    <w:tbl>
      <w:tblPr>
        <w:tblW w:w="0" w:type="auto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1166"/>
        <w:gridCol w:w="1268"/>
        <w:gridCol w:w="1166"/>
        <w:gridCol w:w="1166"/>
        <w:gridCol w:w="1183"/>
      </w:tblGrid>
      <w:tr w:rsidR="004B6EE0" w:rsidRPr="00C27325" w:rsidTr="00053662">
        <w:trPr>
          <w:jc w:val="center"/>
        </w:trPr>
        <w:tc>
          <w:tcPr>
            <w:tcW w:w="3885" w:type="dxa"/>
            <w:vMerge w:val="restart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Показатель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2016 год</w:t>
            </w:r>
          </w:p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(отчет)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2017 год</w:t>
            </w:r>
          </w:p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(оценка)</w:t>
            </w:r>
          </w:p>
        </w:tc>
        <w:tc>
          <w:tcPr>
            <w:tcW w:w="3515" w:type="dxa"/>
            <w:gridSpan w:val="3"/>
            <w:shd w:val="clear" w:color="auto" w:fill="auto"/>
            <w:vAlign w:val="center"/>
          </w:tcPr>
          <w:p w:rsidR="004B6EE0" w:rsidRPr="00C27325" w:rsidRDefault="004B6EE0" w:rsidP="00053662">
            <w:pPr>
              <w:jc w:val="center"/>
              <w:rPr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Проект бюджета</w:t>
            </w:r>
          </w:p>
        </w:tc>
      </w:tr>
      <w:tr w:rsidR="004B6EE0" w:rsidRPr="00C27325" w:rsidTr="00053662">
        <w:trPr>
          <w:jc w:val="center"/>
        </w:trPr>
        <w:tc>
          <w:tcPr>
            <w:tcW w:w="3885" w:type="dxa"/>
            <w:vMerge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2018 год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2019 год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2020 год</w:t>
            </w:r>
          </w:p>
        </w:tc>
      </w:tr>
      <w:tr w:rsidR="004B6EE0" w:rsidRPr="002551EB" w:rsidTr="00053662">
        <w:trPr>
          <w:trHeight w:val="70"/>
          <w:jc w:val="center"/>
        </w:trPr>
        <w:tc>
          <w:tcPr>
            <w:tcW w:w="3885" w:type="dxa"/>
            <w:shd w:val="clear" w:color="auto" w:fill="auto"/>
          </w:tcPr>
          <w:p w:rsidR="004B6EE0" w:rsidRPr="002551EB" w:rsidRDefault="004B6EE0" w:rsidP="00053662">
            <w:pPr>
              <w:suppressAutoHyphens/>
              <w:jc w:val="both"/>
              <w:rPr>
                <w:rFonts w:eastAsia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C27325">
              <w:rPr>
                <w:rFonts w:eastAsia="Calibri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sz w:val="20"/>
                <w:szCs w:val="20"/>
              </w:rPr>
              <w:t>3 662 910,0</w:t>
            </w:r>
          </w:p>
        </w:tc>
        <w:tc>
          <w:tcPr>
            <w:tcW w:w="1268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/>
                <w:bCs/>
                <w:iCs/>
                <w:sz w:val="20"/>
                <w:szCs w:val="20"/>
              </w:rPr>
              <w:t>3 957 320,6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/>
                <w:bCs/>
                <w:iCs/>
                <w:sz w:val="20"/>
                <w:szCs w:val="20"/>
              </w:rPr>
              <w:t>3 673 529,2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rPr>
                <w:b/>
                <w:sz w:val="20"/>
                <w:szCs w:val="20"/>
              </w:rPr>
            </w:pPr>
            <w:r w:rsidRPr="00D47557">
              <w:rPr>
                <w:b/>
                <w:sz w:val="20"/>
                <w:szCs w:val="20"/>
              </w:rPr>
              <w:t>3 722 185,5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rPr>
                <w:b/>
                <w:sz w:val="20"/>
                <w:szCs w:val="20"/>
              </w:rPr>
            </w:pPr>
            <w:r w:rsidRPr="00D47557">
              <w:rPr>
                <w:b/>
                <w:sz w:val="20"/>
                <w:szCs w:val="20"/>
              </w:rPr>
              <w:t>3 695 141,1</w:t>
            </w:r>
          </w:p>
        </w:tc>
      </w:tr>
      <w:tr w:rsidR="004B6EE0" w:rsidRPr="002551EB" w:rsidTr="00053662">
        <w:trPr>
          <w:trHeight w:val="425"/>
          <w:jc w:val="center"/>
        </w:trPr>
        <w:tc>
          <w:tcPr>
            <w:tcW w:w="388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94 490,5</w:t>
            </w:r>
          </w:p>
        </w:tc>
        <w:tc>
          <w:tcPr>
            <w:tcW w:w="1268" w:type="dxa"/>
            <w:shd w:val="clear" w:color="auto" w:fill="auto"/>
          </w:tcPr>
          <w:p w:rsidR="004B6EE0" w:rsidRPr="002551EB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color w:val="0070C0"/>
                <w:sz w:val="20"/>
                <w:szCs w:val="20"/>
              </w:rPr>
            </w:pPr>
            <w:r w:rsidRPr="00A032FF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0,0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C27325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Субсидии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jc w:val="center"/>
              <w:rPr>
                <w:sz w:val="20"/>
                <w:szCs w:val="20"/>
              </w:rPr>
            </w:pPr>
            <w:r w:rsidRPr="00C27325">
              <w:rPr>
                <w:sz w:val="20"/>
                <w:szCs w:val="20"/>
              </w:rPr>
              <w:t>466 802,9</w:t>
            </w:r>
          </w:p>
        </w:tc>
        <w:tc>
          <w:tcPr>
            <w:tcW w:w="1268" w:type="dxa"/>
            <w:shd w:val="clear" w:color="auto" w:fill="auto"/>
          </w:tcPr>
          <w:p w:rsidR="004B6EE0" w:rsidRPr="002551EB" w:rsidRDefault="004B6EE0" w:rsidP="00053662">
            <w:pPr>
              <w:jc w:val="center"/>
              <w:rPr>
                <w:color w:val="0070C0"/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905 266,3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402 138,1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414 706,0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206 730,1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C27325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Субвенции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jc w:val="center"/>
              <w:rPr>
                <w:sz w:val="20"/>
                <w:szCs w:val="20"/>
              </w:rPr>
            </w:pPr>
            <w:r w:rsidRPr="00C27325">
              <w:rPr>
                <w:sz w:val="20"/>
                <w:szCs w:val="20"/>
              </w:rPr>
              <w:t>2 974 114,8</w:t>
            </w:r>
          </w:p>
        </w:tc>
        <w:tc>
          <w:tcPr>
            <w:tcW w:w="1268" w:type="dxa"/>
            <w:shd w:val="clear" w:color="auto" w:fill="auto"/>
          </w:tcPr>
          <w:p w:rsidR="004B6EE0" w:rsidRPr="00A032FF" w:rsidRDefault="004B6EE0" w:rsidP="00053662">
            <w:pPr>
              <w:jc w:val="center"/>
              <w:rPr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3 067 687,2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jc w:val="center"/>
              <w:rPr>
                <w:sz w:val="20"/>
                <w:szCs w:val="20"/>
              </w:rPr>
            </w:pPr>
            <w:r w:rsidRPr="00D47557">
              <w:rPr>
                <w:sz w:val="20"/>
                <w:szCs w:val="20"/>
              </w:rPr>
              <w:t>3 261 065,5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r w:rsidRPr="00D47557">
              <w:rPr>
                <w:sz w:val="20"/>
                <w:szCs w:val="20"/>
              </w:rPr>
              <w:t>3 298 153,9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r w:rsidRPr="00D47557">
              <w:rPr>
                <w:sz w:val="20"/>
                <w:szCs w:val="20"/>
              </w:rPr>
              <w:t>3 479 085,4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C27325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jc w:val="center"/>
              <w:rPr>
                <w:sz w:val="20"/>
                <w:szCs w:val="20"/>
              </w:rPr>
            </w:pPr>
            <w:r w:rsidRPr="00C27325">
              <w:rPr>
                <w:sz w:val="20"/>
                <w:szCs w:val="20"/>
              </w:rPr>
              <w:t>124 421,0</w:t>
            </w:r>
          </w:p>
        </w:tc>
        <w:tc>
          <w:tcPr>
            <w:tcW w:w="1268" w:type="dxa"/>
            <w:shd w:val="clear" w:color="auto" w:fill="auto"/>
          </w:tcPr>
          <w:p w:rsidR="004B6EE0" w:rsidRPr="00A032FF" w:rsidRDefault="004B6EE0" w:rsidP="00053662">
            <w:pPr>
              <w:jc w:val="center"/>
              <w:rPr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9 339,4</w:t>
            </w:r>
          </w:p>
        </w:tc>
        <w:tc>
          <w:tcPr>
            <w:tcW w:w="1166" w:type="dxa"/>
            <w:shd w:val="clear" w:color="auto" w:fill="auto"/>
          </w:tcPr>
          <w:p w:rsidR="004B6EE0" w:rsidRPr="00A032FF" w:rsidRDefault="004B6EE0" w:rsidP="00053662">
            <w:pPr>
              <w:jc w:val="center"/>
              <w:rPr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9 325,6</w:t>
            </w:r>
          </w:p>
        </w:tc>
        <w:tc>
          <w:tcPr>
            <w:tcW w:w="1166" w:type="dxa"/>
            <w:shd w:val="clear" w:color="auto" w:fill="auto"/>
          </w:tcPr>
          <w:p w:rsidR="004B6EE0" w:rsidRPr="00A032FF" w:rsidRDefault="004B6EE0" w:rsidP="00053662">
            <w:pPr>
              <w:jc w:val="center"/>
              <w:rPr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9 325,6</w:t>
            </w:r>
          </w:p>
        </w:tc>
        <w:tc>
          <w:tcPr>
            <w:tcW w:w="1183" w:type="dxa"/>
            <w:shd w:val="clear" w:color="auto" w:fill="auto"/>
          </w:tcPr>
          <w:p w:rsidR="004B6EE0" w:rsidRPr="00A032FF" w:rsidRDefault="004B6EE0" w:rsidP="00053662">
            <w:pPr>
              <w:jc w:val="center"/>
              <w:rPr>
                <w:sz w:val="20"/>
                <w:szCs w:val="20"/>
              </w:rPr>
            </w:pPr>
            <w:r w:rsidRPr="00A032FF">
              <w:rPr>
                <w:sz w:val="20"/>
                <w:szCs w:val="20"/>
              </w:rPr>
              <w:t>9 325,6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2551EB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2 314,0</w:t>
            </w:r>
          </w:p>
        </w:tc>
        <w:tc>
          <w:tcPr>
            <w:tcW w:w="1268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5 923,7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1 000,0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C27325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4 625,6</w:t>
            </w:r>
          </w:p>
        </w:tc>
        <w:tc>
          <w:tcPr>
            <w:tcW w:w="1268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4 373,7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  <w:tr w:rsidR="004B6EE0" w:rsidRPr="002551EB" w:rsidTr="00053662">
        <w:trPr>
          <w:jc w:val="center"/>
        </w:trPr>
        <w:tc>
          <w:tcPr>
            <w:tcW w:w="3885" w:type="dxa"/>
            <w:shd w:val="clear" w:color="auto" w:fill="auto"/>
          </w:tcPr>
          <w:p w:rsidR="004B6EE0" w:rsidRPr="002551EB" w:rsidRDefault="004B6EE0" w:rsidP="00053662">
            <w:pPr>
              <w:suppressAutoHyphens/>
              <w:rPr>
                <w:rFonts w:eastAsia="Calibri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C27325">
              <w:rPr>
                <w:rFonts w:eastAsia="Calibri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45" w:type="dxa"/>
            <w:shd w:val="clear" w:color="auto" w:fill="auto"/>
          </w:tcPr>
          <w:p w:rsidR="004B6EE0" w:rsidRPr="00C27325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C27325">
              <w:rPr>
                <w:rFonts w:eastAsia="Calibri"/>
                <w:bCs/>
                <w:iCs/>
                <w:sz w:val="20"/>
                <w:szCs w:val="20"/>
              </w:rPr>
              <w:t>- 3 858,8</w:t>
            </w:r>
          </w:p>
        </w:tc>
        <w:tc>
          <w:tcPr>
            <w:tcW w:w="1268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- 35 269,7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183" w:type="dxa"/>
            <w:shd w:val="clear" w:color="auto" w:fill="auto"/>
          </w:tcPr>
          <w:p w:rsidR="004B6EE0" w:rsidRPr="00D47557" w:rsidRDefault="004B6EE0" w:rsidP="00053662">
            <w:pPr>
              <w:suppressAutoHyphens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D47557">
              <w:rPr>
                <w:rFonts w:eastAsia="Calibri"/>
                <w:bCs/>
                <w:iCs/>
                <w:sz w:val="20"/>
                <w:szCs w:val="20"/>
              </w:rPr>
              <w:t>0,0</w:t>
            </w:r>
          </w:p>
        </w:tc>
      </w:tr>
    </w:tbl>
    <w:p w:rsidR="004B6EE0" w:rsidRPr="00A22830" w:rsidRDefault="004B6EE0" w:rsidP="004B6EE0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color w:val="0070C0"/>
          <w:sz w:val="16"/>
          <w:szCs w:val="16"/>
          <w:lang w:eastAsia="en-US"/>
        </w:rPr>
      </w:pPr>
    </w:p>
    <w:p w:rsidR="004B6EE0" w:rsidRPr="003029AC" w:rsidRDefault="004B6EE0" w:rsidP="004B6EE0">
      <w:pPr>
        <w:tabs>
          <w:tab w:val="left" w:pos="851"/>
          <w:tab w:val="left" w:pos="993"/>
          <w:tab w:val="num" w:pos="1276"/>
          <w:tab w:val="left" w:pos="1418"/>
          <w:tab w:val="num" w:pos="1701"/>
          <w:tab w:val="left" w:pos="2977"/>
        </w:tabs>
        <w:ind w:firstLine="567"/>
        <w:jc w:val="both"/>
        <w:rPr>
          <w:sz w:val="25"/>
          <w:szCs w:val="25"/>
          <w:lang w:eastAsia="en-US"/>
        </w:rPr>
      </w:pPr>
      <w:proofErr w:type="gramStart"/>
      <w:r w:rsidRPr="003029AC">
        <w:rPr>
          <w:sz w:val="25"/>
          <w:szCs w:val="25"/>
          <w:lang w:eastAsia="en-US"/>
        </w:rPr>
        <w:t xml:space="preserve">Прогнозируемые безвозмездные поступления в городской бюджет на бюджетный цикл 2018 - 2020 годов к ожидаемому исполнению за 2017 год планируются с сокращением: на 283 791,4 тыс. руб. или на 7,2% в 2018 году, на 235 135,1 тыс. руб. или на 5,9% в 2019 году и на 262 179,5 тыс. руб. или на 6,6% в 2020 году. </w:t>
      </w:r>
      <w:proofErr w:type="gramEnd"/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На 2018 год и на плановый период 2019 и 2020 годов к оценке исполнения за 2017 год: 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proofErr w:type="gramStart"/>
      <w:r w:rsidRPr="003029AC">
        <w:rPr>
          <w:sz w:val="25"/>
          <w:szCs w:val="25"/>
        </w:rPr>
        <w:t>- заметно сокращен объем субсидий: на 503 128,2 тыс. руб. или на 55,6% в 2018 году, на 490 560,3 тыс. руб. или на 54,2% в 2019 году и на 698 536,2 тыс. руб. или на 77,2 % в 2020 году;</w:t>
      </w:r>
      <w:proofErr w:type="gramEnd"/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proofErr w:type="gramStart"/>
      <w:r w:rsidRPr="003029AC">
        <w:rPr>
          <w:sz w:val="25"/>
          <w:szCs w:val="25"/>
        </w:rPr>
        <w:t xml:space="preserve">- увеличен объем субвенций: на 193 378,3 тыс. руб. или на 6,3% в 2018 году, на 230 466,7 тыс. руб. или на 7,5% в 2019 году, на 411 398,2 тыс. руб. или на 13,4% в 2020 году.  </w:t>
      </w:r>
      <w:proofErr w:type="gramEnd"/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proofErr w:type="gramStart"/>
      <w:r w:rsidRPr="003029AC">
        <w:rPr>
          <w:sz w:val="25"/>
          <w:szCs w:val="25"/>
        </w:rPr>
        <w:t>Поступление</w:t>
      </w:r>
      <w:r w:rsidRPr="003029AC">
        <w:rPr>
          <w:b/>
          <w:sz w:val="25"/>
          <w:szCs w:val="25"/>
        </w:rPr>
        <w:t xml:space="preserve"> с</w:t>
      </w:r>
      <w:r w:rsidRPr="003029AC">
        <w:rPr>
          <w:b/>
          <w:i/>
          <w:sz w:val="25"/>
          <w:szCs w:val="25"/>
        </w:rPr>
        <w:t>убсидий</w:t>
      </w:r>
      <w:r w:rsidRPr="003029AC">
        <w:rPr>
          <w:sz w:val="25"/>
          <w:szCs w:val="25"/>
        </w:rPr>
        <w:t xml:space="preserve"> из областного бюджета прогнозируется: на 2018 год в общем объеме 402 138,1 тыс. руб., на 2019 год в общем объеме 414 706,0 тыс. руб., на 2020 год – в общем объеме 206 730,1 тыс. руб.  Сокращение общей суммы субсидий связано с тем, что на 2018 -2020 годы по семи видам субсидий, предоставленных в 2017 году, прогнозные показатели отсутствуют, в</w:t>
      </w:r>
      <w:proofErr w:type="gramEnd"/>
      <w:r w:rsidRPr="003029AC">
        <w:rPr>
          <w:sz w:val="25"/>
          <w:szCs w:val="25"/>
        </w:rPr>
        <w:t xml:space="preserve"> том числе по субсидиям </w:t>
      </w:r>
      <w:proofErr w:type="gramStart"/>
      <w:r w:rsidRPr="003029AC">
        <w:rPr>
          <w:sz w:val="25"/>
          <w:szCs w:val="25"/>
        </w:rPr>
        <w:t>на</w:t>
      </w:r>
      <w:proofErr w:type="gramEnd"/>
      <w:r w:rsidRPr="003029AC">
        <w:rPr>
          <w:sz w:val="25"/>
          <w:szCs w:val="25"/>
        </w:rPr>
        <w:t>:</w:t>
      </w:r>
    </w:p>
    <w:p w:rsidR="004B6EE0" w:rsidRPr="003029AC" w:rsidRDefault="004B6EE0" w:rsidP="004B6EE0">
      <w:pPr>
        <w:ind w:left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реализацию федеральных целевых программ;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реализацию мероприятий государственной программы Российской Федерации «Доступная среда» на 2011 - 2020 годы;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создание в общеобразовательных организациях, расположенных в сельской местности, условий для занятий физической культурой и спортом;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поддержку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В 2018 году запланировано поступление субсидий </w:t>
      </w:r>
      <w:proofErr w:type="gramStart"/>
      <w:r w:rsidRPr="003029AC">
        <w:rPr>
          <w:sz w:val="25"/>
          <w:szCs w:val="25"/>
        </w:rPr>
        <w:t>на</w:t>
      </w:r>
      <w:proofErr w:type="gramEnd"/>
      <w:r w:rsidRPr="003029AC">
        <w:rPr>
          <w:sz w:val="25"/>
          <w:szCs w:val="25"/>
        </w:rPr>
        <w:t>: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lastRenderedPageBreak/>
        <w:t xml:space="preserve">- </w:t>
      </w:r>
      <w:proofErr w:type="spellStart"/>
      <w:r w:rsidRPr="003029AC">
        <w:rPr>
          <w:sz w:val="25"/>
          <w:szCs w:val="25"/>
        </w:rPr>
        <w:t>софинансирование</w:t>
      </w:r>
      <w:proofErr w:type="spellEnd"/>
      <w:r w:rsidRPr="003029AC">
        <w:rPr>
          <w:sz w:val="25"/>
          <w:szCs w:val="25"/>
        </w:rPr>
        <w:t xml:space="preserve"> капитальных вложений в объекты муниципальной собственности - 230 081,7 тыс. руб.;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-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- 106 691,4 тыс. руб.; 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</w:t>
      </w:r>
      <w:r w:rsidRPr="003029AC">
        <w:rPr>
          <w:sz w:val="25"/>
          <w:szCs w:val="25"/>
        </w:rPr>
        <w:tab/>
        <w:t xml:space="preserve"> </w:t>
      </w:r>
      <w:proofErr w:type="spellStart"/>
      <w:r w:rsidRPr="003029AC">
        <w:rPr>
          <w:sz w:val="25"/>
          <w:szCs w:val="25"/>
        </w:rPr>
        <w:t>софинансирование</w:t>
      </w:r>
      <w:proofErr w:type="spellEnd"/>
      <w:r w:rsidRPr="003029AC">
        <w:rPr>
          <w:sz w:val="25"/>
          <w:szCs w:val="25"/>
        </w:rPr>
        <w:t xml:space="preserve"> вопросов местного значения - 3 574,3 тыс. руб.;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 - частичное возмещение расходов по предоставлению </w:t>
      </w:r>
      <w:proofErr w:type="gramStart"/>
      <w:r w:rsidRPr="003029AC">
        <w:rPr>
          <w:sz w:val="25"/>
          <w:szCs w:val="25"/>
        </w:rPr>
        <w:t>мер социальной поддержки квалифицированных специалистов учреждений культуры</w:t>
      </w:r>
      <w:proofErr w:type="gramEnd"/>
      <w:r w:rsidRPr="003029AC">
        <w:rPr>
          <w:sz w:val="25"/>
          <w:szCs w:val="25"/>
        </w:rPr>
        <w:t xml:space="preserve"> и образовательных организаций (кроме педагогических работников), финансируемых из местных бюджетов, проживающих и работающих в сельских населенных пунктах, рабочих поселках (поселках городского типа), - 3,2 тыс. руб.; 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развитие территориального общественного самоуправления в Архангельской области - 187,2 тыс. руб.;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повышение средней заработной платы педагогических работников муниципальных учреждений дополнительного образования в целях реализации Указа Президента Российской Федерации от 01.06.2012 № 761 «О национальной стратегии действий в интересах детей на 2012-2017 годы» - 5 023,8 тыс. руб.;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повышение заработной платы работников муниципальных учреждений культуры в целях реализации Указа Президента Российской Федерации от 07.05.2012 № 597 «О мероприятиях по реализации государственной социальной политики» на - 56 576,5 тыс. руб.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Объем </w:t>
      </w:r>
      <w:r w:rsidRPr="003029AC">
        <w:rPr>
          <w:b/>
          <w:i/>
          <w:sz w:val="25"/>
          <w:szCs w:val="25"/>
        </w:rPr>
        <w:t>субвенций</w:t>
      </w:r>
      <w:r w:rsidRPr="003029AC">
        <w:rPr>
          <w:sz w:val="25"/>
          <w:szCs w:val="25"/>
        </w:rPr>
        <w:t xml:space="preserve"> запланирован: на 2018 год в общем объеме 3 261 065,5 тыс. руб., на 2019 год – 3 298 153,9 тыс. руб., на 2020 год – 3 479 085,4 тыс. руб. 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В 2018 году из областного бюджета планируется  поступление субвенций </w:t>
      </w:r>
      <w:proofErr w:type="gramStart"/>
      <w:r w:rsidRPr="003029AC">
        <w:rPr>
          <w:sz w:val="25"/>
          <w:szCs w:val="25"/>
        </w:rPr>
        <w:t>на</w:t>
      </w:r>
      <w:proofErr w:type="gramEnd"/>
      <w:r w:rsidRPr="003029AC">
        <w:rPr>
          <w:sz w:val="25"/>
          <w:szCs w:val="25"/>
        </w:rPr>
        <w:t>: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предоставление гражданам субсидий на оплату жилого помещения и коммунальных услуг в размере 192 462,7 тыс. руб. (5,9% от общего объема субвенций);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выполнение передаваемых полномочий Архангельской области в размере 54207,6 тыс. руб. (1,7% от общего объема субвенций);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</w:t>
      </w:r>
      <w:r w:rsidRPr="003029AC">
        <w:rPr>
          <w:sz w:val="25"/>
          <w:szCs w:val="25"/>
        </w:rPr>
        <w:tab/>
        <w:t>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размере 121848,9 тыс. руб. (3,7% от общего объема субвенций);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общем размере 38 505,9 тыс. руб. (1,2% от общего объема субвенций);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 -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размере 1 155,2 тыс. руб.;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реализацию образовательных программ в размере 2 842 671,0 тыс. руб. (87,2% от общего объема субвенций);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</w:t>
      </w:r>
      <w:r w:rsidRPr="003029AC">
        <w:rPr>
          <w:sz w:val="25"/>
          <w:szCs w:val="25"/>
        </w:rPr>
        <w:tab/>
        <w:t>оплату набора продуктов питания в оздоровительных лагерях с дневным пребыванием детей в размере 10 214,2 тыс. руб. (0,3% от общего объема субвенций).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proofErr w:type="gramStart"/>
      <w:r w:rsidRPr="003029AC">
        <w:rPr>
          <w:sz w:val="25"/>
          <w:szCs w:val="25"/>
        </w:rPr>
        <w:t>В Приложении № 1 «Прогноз поступления доходов городского бюджета на 2018 год и плановый период 2019 и 2020 годов» к пояснительной записке к проекту решения допущена техническая ошибка в части указания объема субвенций на 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 (по КБК 20235082040000151</w:t>
      </w:r>
      <w:r w:rsidR="00D65C62">
        <w:rPr>
          <w:sz w:val="25"/>
          <w:szCs w:val="25"/>
        </w:rPr>
        <w:t xml:space="preserve"> – строка включена ошибочно</w:t>
      </w:r>
      <w:r w:rsidRPr="003029AC">
        <w:rPr>
          <w:sz w:val="25"/>
          <w:szCs w:val="25"/>
        </w:rPr>
        <w:t>).</w:t>
      </w:r>
      <w:proofErr w:type="gramEnd"/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lastRenderedPageBreak/>
        <w:t xml:space="preserve">Поступление из областного бюджета </w:t>
      </w:r>
      <w:r w:rsidRPr="003029AC">
        <w:rPr>
          <w:b/>
          <w:i/>
          <w:sz w:val="25"/>
          <w:szCs w:val="25"/>
        </w:rPr>
        <w:t xml:space="preserve">иных межбюджетных трансфертов </w:t>
      </w:r>
      <w:r w:rsidRPr="003029AC">
        <w:rPr>
          <w:sz w:val="25"/>
          <w:szCs w:val="25"/>
        </w:rPr>
        <w:t>на 2018 год и плановый период 2019 и 2020 годов планируется на уровне оценки за 2017 год (9 339,4 тыс. руб.) и прогн</w:t>
      </w:r>
      <w:r w:rsidR="00793394">
        <w:rPr>
          <w:sz w:val="25"/>
          <w:szCs w:val="25"/>
        </w:rPr>
        <w:t xml:space="preserve">озируется в размере 9 325,6 </w:t>
      </w:r>
      <w:proofErr w:type="spellStart"/>
      <w:r w:rsidR="00793394">
        <w:rPr>
          <w:sz w:val="25"/>
          <w:szCs w:val="25"/>
        </w:rPr>
        <w:t>тыс</w:t>
      </w:r>
      <w:proofErr w:type="gramStart"/>
      <w:r w:rsidR="00793394">
        <w:rPr>
          <w:sz w:val="25"/>
          <w:szCs w:val="25"/>
        </w:rPr>
        <w:t>.</w:t>
      </w:r>
      <w:r w:rsidRPr="003029AC">
        <w:rPr>
          <w:sz w:val="25"/>
          <w:szCs w:val="25"/>
        </w:rPr>
        <w:t>р</w:t>
      </w:r>
      <w:proofErr w:type="gramEnd"/>
      <w:r w:rsidRPr="003029AC">
        <w:rPr>
          <w:sz w:val="25"/>
          <w:szCs w:val="25"/>
        </w:rPr>
        <w:t>уб</w:t>
      </w:r>
      <w:proofErr w:type="spellEnd"/>
      <w:r w:rsidRPr="003029AC">
        <w:rPr>
          <w:sz w:val="25"/>
          <w:szCs w:val="25"/>
        </w:rPr>
        <w:t>. ежегодно, в том числе на: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>- обеспечение равной доступности услуг общественного транспорта для категорий граждан, установленных статьями 2 и 4 Федерального закона от 12.01.1995 № 5-ФЗ «О ветеранах» в раз</w:t>
      </w:r>
      <w:r w:rsidR="00793394">
        <w:rPr>
          <w:sz w:val="25"/>
          <w:szCs w:val="25"/>
        </w:rPr>
        <w:t xml:space="preserve">мере 3 749,1 </w:t>
      </w:r>
      <w:proofErr w:type="spellStart"/>
      <w:r w:rsidR="00793394">
        <w:rPr>
          <w:sz w:val="25"/>
          <w:szCs w:val="25"/>
        </w:rPr>
        <w:t>тыс</w:t>
      </w:r>
      <w:proofErr w:type="gramStart"/>
      <w:r w:rsidR="00793394">
        <w:rPr>
          <w:sz w:val="25"/>
          <w:szCs w:val="25"/>
        </w:rPr>
        <w:t>.</w:t>
      </w:r>
      <w:r w:rsidRPr="003029AC">
        <w:rPr>
          <w:sz w:val="25"/>
          <w:szCs w:val="25"/>
        </w:rPr>
        <w:t>р</w:t>
      </w:r>
      <w:proofErr w:type="gramEnd"/>
      <w:r w:rsidRPr="003029AC">
        <w:rPr>
          <w:sz w:val="25"/>
          <w:szCs w:val="25"/>
        </w:rPr>
        <w:t>уб</w:t>
      </w:r>
      <w:proofErr w:type="spellEnd"/>
      <w:r w:rsidRPr="003029AC">
        <w:rPr>
          <w:sz w:val="25"/>
          <w:szCs w:val="25"/>
        </w:rPr>
        <w:t>. ежегодно;</w:t>
      </w:r>
    </w:p>
    <w:p w:rsidR="004B6EE0" w:rsidRPr="003029AC" w:rsidRDefault="004B6EE0" w:rsidP="004B6EE0">
      <w:pPr>
        <w:ind w:firstLine="567"/>
        <w:jc w:val="both"/>
        <w:rPr>
          <w:sz w:val="25"/>
          <w:szCs w:val="25"/>
        </w:rPr>
      </w:pPr>
      <w:r w:rsidRPr="003029AC">
        <w:rPr>
          <w:sz w:val="25"/>
          <w:szCs w:val="25"/>
        </w:rPr>
        <w:t xml:space="preserve">- возмещение расходов, связанных с реализацией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в сельской местности, рабочих поселках (поселках городского типа), в размере 5 576,5 тыс. руб.  ежегодно. </w:t>
      </w:r>
    </w:p>
    <w:p w:rsidR="004B6EE0" w:rsidRPr="003029AC" w:rsidRDefault="004B6EE0" w:rsidP="004B6EE0">
      <w:pPr>
        <w:suppressAutoHyphens/>
        <w:ind w:firstLine="567"/>
        <w:jc w:val="both"/>
        <w:rPr>
          <w:rFonts w:eastAsia="Calibri"/>
          <w:b/>
          <w:bCs/>
          <w:i/>
          <w:iCs/>
          <w:sz w:val="25"/>
          <w:szCs w:val="25"/>
        </w:rPr>
      </w:pPr>
      <w:proofErr w:type="gramStart"/>
      <w:r w:rsidRPr="003029AC">
        <w:rPr>
          <w:bCs/>
          <w:iCs/>
          <w:sz w:val="25"/>
          <w:szCs w:val="25"/>
          <w:lang w:eastAsia="en-US"/>
        </w:rPr>
        <w:t xml:space="preserve">Поступление </w:t>
      </w:r>
      <w:r w:rsidRPr="003029AC">
        <w:rPr>
          <w:b/>
          <w:bCs/>
          <w:i/>
          <w:iCs/>
          <w:sz w:val="25"/>
          <w:szCs w:val="25"/>
          <w:lang w:eastAsia="en-US"/>
        </w:rPr>
        <w:t>п</w:t>
      </w:r>
      <w:r w:rsidRPr="003029AC">
        <w:rPr>
          <w:rFonts w:eastAsia="Calibri"/>
          <w:b/>
          <w:bCs/>
          <w:i/>
          <w:iCs/>
          <w:sz w:val="25"/>
          <w:szCs w:val="25"/>
        </w:rPr>
        <w:t xml:space="preserve">рочих безвозмездные поступления </w:t>
      </w:r>
      <w:r w:rsidRPr="003029AC">
        <w:rPr>
          <w:rFonts w:eastAsia="Calibri"/>
          <w:bCs/>
          <w:iCs/>
          <w:sz w:val="25"/>
          <w:szCs w:val="25"/>
        </w:rPr>
        <w:t>п</w:t>
      </w:r>
      <w:r w:rsidRPr="003029AC">
        <w:rPr>
          <w:bCs/>
          <w:iCs/>
          <w:sz w:val="25"/>
          <w:szCs w:val="25"/>
          <w:lang w:eastAsia="en-US"/>
        </w:rPr>
        <w:t>рогнозируется в 2018 году в сумме 1 000,0 тыс. руб. в виде гранта от Фонда поддержки детей, находящихся в трудной жизненной ситуации, в соответствии с договором о предоставлении денежных средств от 28.03.2017 №01-03-89п-2016.11/25, заключенным между Фондом поддержки детей, находящихся в трудной жизненной ситуации, и муниципальным образованием «Город Архангельск».</w:t>
      </w:r>
      <w:proofErr w:type="gramEnd"/>
    </w:p>
    <w:p w:rsidR="007E4DE1" w:rsidRPr="000703B2" w:rsidRDefault="007E4DE1" w:rsidP="006C25AF">
      <w:pPr>
        <w:ind w:firstLine="567"/>
        <w:jc w:val="both"/>
        <w:rPr>
          <w:color w:val="365F91" w:themeColor="accent1" w:themeShade="BF"/>
          <w:sz w:val="16"/>
          <w:szCs w:val="16"/>
        </w:rPr>
      </w:pPr>
    </w:p>
    <w:p w:rsidR="0070722F" w:rsidRPr="00B15A73" w:rsidRDefault="0070722F" w:rsidP="0070722F">
      <w:pPr>
        <w:spacing w:after="120"/>
        <w:ind w:firstLine="567"/>
        <w:jc w:val="center"/>
        <w:rPr>
          <w:b/>
          <w:sz w:val="25"/>
          <w:szCs w:val="25"/>
        </w:rPr>
      </w:pPr>
      <w:r w:rsidRPr="00B15A73">
        <w:rPr>
          <w:b/>
          <w:sz w:val="25"/>
          <w:szCs w:val="25"/>
        </w:rPr>
        <w:t>4. Расходы городского бюджета</w:t>
      </w:r>
    </w:p>
    <w:p w:rsidR="007C12E6" w:rsidRPr="007C12E6" w:rsidRDefault="0070722F" w:rsidP="007C12E6">
      <w:pPr>
        <w:ind w:firstLine="567"/>
        <w:jc w:val="both"/>
        <w:rPr>
          <w:color w:val="00B050"/>
          <w:sz w:val="25"/>
          <w:szCs w:val="25"/>
        </w:rPr>
      </w:pPr>
      <w:r w:rsidRPr="00B15A73">
        <w:rPr>
          <w:b/>
          <w:sz w:val="25"/>
          <w:szCs w:val="25"/>
        </w:rPr>
        <w:t>4.1.</w:t>
      </w:r>
      <w:r w:rsidRPr="00B15A73">
        <w:rPr>
          <w:sz w:val="25"/>
          <w:szCs w:val="25"/>
        </w:rPr>
        <w:t xml:space="preserve"> </w:t>
      </w:r>
      <w:r w:rsidR="007C12E6" w:rsidRPr="007C12E6">
        <w:rPr>
          <w:sz w:val="25"/>
          <w:szCs w:val="25"/>
        </w:rPr>
        <w:t xml:space="preserve">Проектом решения расходы городского бюджета на 2018 год и на плановый период 2019 и 2020 годов предусмотрены в объеме 8 340 905,6 тыс.руб., 8 352 754,5 тыс.руб. и 8 432 018,8 тыс.руб. соответственно, в том числе условно утвержденные расходы на плановый период - 145 808,7 тыс.руб. и 225 943,6 тыс.руб. соответственно. </w:t>
      </w:r>
    </w:p>
    <w:p w:rsidR="007C12E6" w:rsidRPr="007C12E6" w:rsidRDefault="007C12E6" w:rsidP="007C12E6">
      <w:pPr>
        <w:ind w:firstLine="567"/>
        <w:jc w:val="both"/>
        <w:rPr>
          <w:sz w:val="20"/>
          <w:szCs w:val="20"/>
        </w:rPr>
      </w:pPr>
      <w:r w:rsidRPr="007C12E6">
        <w:rPr>
          <w:sz w:val="25"/>
          <w:szCs w:val="25"/>
        </w:rPr>
        <w:t>Темпы роста и размер отклонений бюджетных ассигнований на 2018-2020 годы по сравнению с предыдущими периодами приведены ниже в таблице.</w:t>
      </w:r>
      <w:r w:rsidRPr="007C12E6">
        <w:rPr>
          <w:sz w:val="20"/>
          <w:szCs w:val="20"/>
        </w:rPr>
        <w:t xml:space="preserve">           </w:t>
      </w:r>
    </w:p>
    <w:p w:rsidR="007C12E6" w:rsidRPr="00C0475A" w:rsidRDefault="007C12E6" w:rsidP="00C0475A">
      <w:pPr>
        <w:ind w:firstLine="567"/>
        <w:jc w:val="right"/>
        <w:rPr>
          <w:sz w:val="20"/>
          <w:szCs w:val="20"/>
        </w:rPr>
      </w:pPr>
      <w:r w:rsidRPr="00C0475A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C0475A" w:rsidRPr="00C0475A">
        <w:rPr>
          <w:sz w:val="20"/>
          <w:szCs w:val="20"/>
        </w:rPr>
        <w:t>(</w:t>
      </w:r>
      <w:proofErr w:type="spellStart"/>
      <w:r w:rsidR="00C0475A" w:rsidRPr="00C0475A">
        <w:rPr>
          <w:sz w:val="20"/>
          <w:szCs w:val="20"/>
        </w:rPr>
        <w:t>тыс</w:t>
      </w:r>
      <w:proofErr w:type="gramStart"/>
      <w:r w:rsidR="00C0475A" w:rsidRPr="00C0475A">
        <w:rPr>
          <w:sz w:val="20"/>
          <w:szCs w:val="20"/>
        </w:rPr>
        <w:t>.р</w:t>
      </w:r>
      <w:proofErr w:type="gramEnd"/>
      <w:r w:rsidR="00C0475A" w:rsidRPr="00C0475A">
        <w:rPr>
          <w:sz w:val="20"/>
          <w:szCs w:val="20"/>
        </w:rPr>
        <w:t>уб</w:t>
      </w:r>
      <w:proofErr w:type="spellEnd"/>
      <w:r w:rsidR="00C0475A" w:rsidRPr="00C0475A">
        <w:rPr>
          <w:sz w:val="20"/>
          <w:szCs w:val="20"/>
        </w:rPr>
        <w:t>.)</w:t>
      </w:r>
      <w:r w:rsidRPr="00C0475A">
        <w:rPr>
          <w:sz w:val="20"/>
          <w:szCs w:val="20"/>
        </w:rPr>
        <w:t xml:space="preserve">         </w:t>
      </w:r>
    </w:p>
    <w:tbl>
      <w:tblPr>
        <w:tblW w:w="9718" w:type="dxa"/>
        <w:jc w:val="center"/>
        <w:tblInd w:w="93" w:type="dxa"/>
        <w:tblLook w:val="04A0" w:firstRow="1" w:lastRow="0" w:firstColumn="1" w:lastColumn="0" w:noHBand="0" w:noVBand="1"/>
      </w:tblPr>
      <w:tblGrid>
        <w:gridCol w:w="1670"/>
        <w:gridCol w:w="709"/>
        <w:gridCol w:w="1134"/>
        <w:gridCol w:w="1134"/>
        <w:gridCol w:w="1701"/>
        <w:gridCol w:w="1134"/>
        <w:gridCol w:w="1134"/>
        <w:gridCol w:w="1102"/>
      </w:tblGrid>
      <w:tr w:rsidR="007C12E6" w:rsidRPr="007C12E6" w:rsidTr="00E050C6">
        <w:trPr>
          <w:trHeight w:val="285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2015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2E6" w:rsidRPr="007C12E6" w:rsidRDefault="007C12E6" w:rsidP="007C12E6">
            <w:pPr>
              <w:jc w:val="center"/>
              <w:rPr>
                <w:bCs/>
                <w:color w:val="00B050"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 xml:space="preserve">2016 год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 xml:space="preserve">2017 год  </w:t>
            </w:r>
          </w:p>
          <w:p w:rsidR="007C12E6" w:rsidRPr="007C12E6" w:rsidRDefault="007C12E6" w:rsidP="007C12E6">
            <w:pPr>
              <w:jc w:val="center"/>
              <w:rPr>
                <w:bCs/>
                <w:color w:val="00B050"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(ред. от 25.10.2017 №583)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color w:val="00B050"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Проект бюджета</w:t>
            </w:r>
          </w:p>
        </w:tc>
      </w:tr>
      <w:tr w:rsidR="007C12E6" w:rsidRPr="007C12E6" w:rsidTr="00E050C6">
        <w:trPr>
          <w:trHeight w:val="303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E6" w:rsidRPr="007C12E6" w:rsidRDefault="007C12E6" w:rsidP="007C12E6">
            <w:pPr>
              <w:jc w:val="center"/>
              <w:rPr>
                <w:bCs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2019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2020 год</w:t>
            </w:r>
          </w:p>
        </w:tc>
      </w:tr>
      <w:tr w:rsidR="007C12E6" w:rsidRPr="007C12E6" w:rsidTr="00E050C6">
        <w:trPr>
          <w:trHeight w:val="27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7 909 412,0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8 236 509,0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7 863 087,4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8 340 905,6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8 352 754,5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8 432 018,8</w:t>
            </w:r>
          </w:p>
        </w:tc>
      </w:tr>
      <w:tr w:rsidR="007C12E6" w:rsidRPr="007C12E6" w:rsidTr="00E050C6">
        <w:trPr>
          <w:trHeight w:val="300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Темп роста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104,1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100,1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  <w:r w:rsidRPr="007C12E6">
              <w:rPr>
                <w:sz w:val="18"/>
                <w:szCs w:val="18"/>
              </w:rPr>
              <w:t>100,9</w:t>
            </w:r>
          </w:p>
        </w:tc>
      </w:tr>
      <w:tr w:rsidR="007C12E6" w:rsidRPr="007C12E6" w:rsidTr="00E050C6">
        <w:trPr>
          <w:trHeight w:val="30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Отклонение от предыдущего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bCs/>
                <w:sz w:val="18"/>
                <w:szCs w:val="18"/>
              </w:rPr>
            </w:pPr>
            <w:r w:rsidRPr="007C12E6">
              <w:rPr>
                <w:bCs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7C1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2E6" w:rsidRPr="007C12E6" w:rsidRDefault="007C12E6" w:rsidP="00CC601B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327 09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CC601B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-373 42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1</w:t>
            </w: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C0475A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477 818,</w:t>
            </w:r>
            <w:r w:rsidR="00C0475A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CC601B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11 84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CC601B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C0475A">
            <w:pPr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C12E6">
              <w:rPr>
                <w:rFonts w:eastAsiaTheme="minorHAnsi"/>
                <w:sz w:val="18"/>
                <w:szCs w:val="18"/>
                <w:lang w:eastAsia="en-US"/>
              </w:rPr>
              <w:t>79 264,</w:t>
            </w:r>
            <w:r w:rsidR="00C0475A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</w:tbl>
    <w:p w:rsidR="007C12E6" w:rsidRPr="00C0475A" w:rsidRDefault="007C12E6" w:rsidP="007C12E6">
      <w:pPr>
        <w:ind w:firstLine="567"/>
        <w:jc w:val="both"/>
        <w:rPr>
          <w:color w:val="00B050"/>
          <w:sz w:val="20"/>
          <w:szCs w:val="20"/>
        </w:rPr>
      </w:pPr>
    </w:p>
    <w:p w:rsidR="007C12E6" w:rsidRPr="007C12E6" w:rsidRDefault="007C12E6" w:rsidP="007C12E6">
      <w:pPr>
        <w:ind w:firstLine="567"/>
        <w:jc w:val="both"/>
        <w:rPr>
          <w:color w:val="00B050"/>
          <w:sz w:val="25"/>
          <w:szCs w:val="25"/>
        </w:rPr>
      </w:pPr>
      <w:r w:rsidRPr="007C12E6">
        <w:rPr>
          <w:sz w:val="25"/>
          <w:szCs w:val="25"/>
        </w:rPr>
        <w:t>Согласно проекту решения расходы городского бюджета на 2018 год по сравнению с решением Архангельской городской Думы от 14.12.2016 №460 «О городском бюджете на 2017 год и на плановый период 2018 и 2019 годов» (в ред. от 25.10.2017) увеличиваются на 477 818,0 тыс</w:t>
      </w:r>
      <w:proofErr w:type="gramStart"/>
      <w:r w:rsidRPr="007C12E6">
        <w:rPr>
          <w:sz w:val="25"/>
          <w:szCs w:val="25"/>
        </w:rPr>
        <w:t>.р</w:t>
      </w:r>
      <w:proofErr w:type="gramEnd"/>
      <w:r w:rsidRPr="007C12E6">
        <w:rPr>
          <w:sz w:val="25"/>
          <w:szCs w:val="25"/>
        </w:rPr>
        <w:t>уб.</w:t>
      </w:r>
    </w:p>
    <w:p w:rsid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Информация о расходах городского бюджета на 201</w:t>
      </w:r>
      <w:r w:rsidR="00C0475A">
        <w:rPr>
          <w:sz w:val="25"/>
          <w:szCs w:val="25"/>
        </w:rPr>
        <w:t>8</w:t>
      </w:r>
      <w:r w:rsidRPr="007C12E6">
        <w:rPr>
          <w:sz w:val="25"/>
          <w:szCs w:val="25"/>
        </w:rPr>
        <w:t xml:space="preserve"> год и плановый период 201</w:t>
      </w:r>
      <w:r w:rsidR="00C0475A">
        <w:rPr>
          <w:sz w:val="25"/>
          <w:szCs w:val="25"/>
        </w:rPr>
        <w:t>9</w:t>
      </w:r>
      <w:r w:rsidRPr="007C12E6">
        <w:rPr>
          <w:sz w:val="25"/>
          <w:szCs w:val="25"/>
        </w:rPr>
        <w:t xml:space="preserve"> и 20</w:t>
      </w:r>
      <w:r w:rsidR="00C0475A">
        <w:rPr>
          <w:sz w:val="25"/>
          <w:szCs w:val="25"/>
        </w:rPr>
        <w:t>20</w:t>
      </w:r>
      <w:r w:rsidRPr="007C12E6">
        <w:rPr>
          <w:sz w:val="25"/>
          <w:szCs w:val="25"/>
        </w:rPr>
        <w:t xml:space="preserve"> годов по разделам приведена ниже в таблице.</w:t>
      </w:r>
    </w:p>
    <w:p w:rsidR="00C0475A" w:rsidRPr="00C0475A" w:rsidRDefault="00C0475A" w:rsidP="00C0475A">
      <w:pPr>
        <w:ind w:firstLine="567"/>
        <w:jc w:val="right"/>
        <w:rPr>
          <w:sz w:val="20"/>
          <w:szCs w:val="20"/>
        </w:rPr>
      </w:pPr>
      <w:r w:rsidRPr="00C0475A">
        <w:rPr>
          <w:sz w:val="20"/>
          <w:szCs w:val="20"/>
        </w:rPr>
        <w:t>(</w:t>
      </w:r>
      <w:proofErr w:type="spellStart"/>
      <w:r w:rsidRPr="00C0475A">
        <w:rPr>
          <w:sz w:val="20"/>
          <w:szCs w:val="20"/>
        </w:rPr>
        <w:t>тыс</w:t>
      </w:r>
      <w:proofErr w:type="gramStart"/>
      <w:r w:rsidRPr="00C0475A">
        <w:rPr>
          <w:sz w:val="20"/>
          <w:szCs w:val="20"/>
        </w:rPr>
        <w:t>.р</w:t>
      </w:r>
      <w:proofErr w:type="gramEnd"/>
      <w:r w:rsidRPr="00C0475A">
        <w:rPr>
          <w:sz w:val="20"/>
          <w:szCs w:val="20"/>
        </w:rPr>
        <w:t>уб</w:t>
      </w:r>
      <w:proofErr w:type="spellEnd"/>
      <w:r w:rsidRPr="00C0475A">
        <w:rPr>
          <w:sz w:val="20"/>
          <w:szCs w:val="20"/>
        </w:rPr>
        <w:t>.)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425"/>
        <w:gridCol w:w="992"/>
        <w:gridCol w:w="567"/>
        <w:gridCol w:w="1134"/>
        <w:gridCol w:w="567"/>
        <w:gridCol w:w="992"/>
        <w:gridCol w:w="567"/>
        <w:gridCol w:w="993"/>
        <w:gridCol w:w="567"/>
        <w:gridCol w:w="992"/>
        <w:gridCol w:w="567"/>
      </w:tblGrid>
      <w:tr w:rsidR="007C12E6" w:rsidRPr="007C12E6" w:rsidTr="00E050C6">
        <w:trPr>
          <w:trHeight w:val="3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12E6" w:rsidRPr="007C12E6" w:rsidRDefault="007C12E6" w:rsidP="007C12E6">
            <w:pPr>
              <w:ind w:left="113" w:right="113"/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Раздел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Решение о городском бюджете на 2017 год (ред. от 25.10.2017 №583)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Проект городского бюджета</w:t>
            </w:r>
          </w:p>
        </w:tc>
      </w:tr>
      <w:tr w:rsidR="007C12E6" w:rsidRPr="007C12E6" w:rsidTr="00E050C6">
        <w:trPr>
          <w:trHeight w:val="531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2018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2020 год</w:t>
            </w:r>
          </w:p>
        </w:tc>
      </w:tr>
      <w:tr w:rsidR="007C12E6" w:rsidRPr="007C12E6" w:rsidTr="002B1607">
        <w:trPr>
          <w:trHeight w:val="178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в % к ито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гу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в % к ито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гу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Отклонение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в % к ито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гу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в % к ито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20"/>
              </w:rPr>
            </w:pPr>
            <w:r w:rsidRPr="007C12E6">
              <w:rPr>
                <w:sz w:val="16"/>
                <w:szCs w:val="20"/>
              </w:rPr>
              <w:t>гу</w:t>
            </w:r>
          </w:p>
        </w:tc>
      </w:tr>
      <w:tr w:rsidR="007C12E6" w:rsidRPr="007C12E6" w:rsidTr="00E050C6">
        <w:trPr>
          <w:trHeight w:val="77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8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8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B6B9E">
            <w:pPr>
              <w:jc w:val="center"/>
              <w:rPr>
                <w:sz w:val="18"/>
                <w:szCs w:val="20"/>
              </w:rPr>
            </w:pPr>
            <w:r w:rsidRPr="007C12E6">
              <w:rPr>
                <w:sz w:val="18"/>
                <w:szCs w:val="20"/>
              </w:rPr>
              <w:t>тыс</w:t>
            </w:r>
            <w:proofErr w:type="gramStart"/>
            <w:r w:rsidRPr="007C12E6">
              <w:rPr>
                <w:sz w:val="18"/>
                <w:szCs w:val="20"/>
              </w:rPr>
              <w:t>.р</w:t>
            </w:r>
            <w:proofErr w:type="gramEnd"/>
            <w:r w:rsidRPr="007C12E6">
              <w:rPr>
                <w:sz w:val="18"/>
                <w:szCs w:val="20"/>
              </w:rPr>
              <w:t>уб. (гр.</w:t>
            </w:r>
            <w:r w:rsidR="007B6B9E">
              <w:rPr>
                <w:sz w:val="18"/>
                <w:szCs w:val="20"/>
              </w:rPr>
              <w:t>5</w:t>
            </w:r>
            <w:r w:rsidRPr="007C12E6">
              <w:rPr>
                <w:sz w:val="18"/>
                <w:szCs w:val="20"/>
              </w:rPr>
              <w:t>-гр.</w:t>
            </w:r>
            <w:r w:rsidR="007B6B9E">
              <w:rPr>
                <w:sz w:val="18"/>
                <w:szCs w:val="20"/>
              </w:rPr>
              <w:t>3</w:t>
            </w:r>
            <w:r w:rsidRPr="007C12E6">
              <w:rPr>
                <w:sz w:val="18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B6B9E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% (гр.</w:t>
            </w:r>
            <w:r w:rsidR="007B6B9E">
              <w:rPr>
                <w:sz w:val="16"/>
                <w:szCs w:val="16"/>
              </w:rPr>
              <w:t>6</w:t>
            </w:r>
            <w:r w:rsidRPr="007C12E6">
              <w:rPr>
                <w:sz w:val="16"/>
                <w:szCs w:val="16"/>
              </w:rPr>
              <w:t>-гр.</w:t>
            </w:r>
            <w:r w:rsidR="007B6B9E">
              <w:rPr>
                <w:sz w:val="16"/>
                <w:szCs w:val="16"/>
              </w:rPr>
              <w:t>4</w:t>
            </w:r>
            <w:r w:rsidRPr="007C12E6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00B050"/>
                <w:sz w:val="20"/>
                <w:szCs w:val="20"/>
              </w:rPr>
            </w:pPr>
          </w:p>
        </w:tc>
      </w:tr>
      <w:tr w:rsidR="007C12E6" w:rsidRPr="007C12E6" w:rsidTr="00E050C6">
        <w:trPr>
          <w:trHeight w:val="49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proofErr w:type="spellStart"/>
            <w:r w:rsidRPr="007C12E6">
              <w:rPr>
                <w:sz w:val="16"/>
                <w:szCs w:val="22"/>
              </w:rPr>
              <w:t>Общегосударствен</w:t>
            </w:r>
            <w:proofErr w:type="spellEnd"/>
            <w:r w:rsidRPr="007C12E6">
              <w:rPr>
                <w:sz w:val="16"/>
                <w:szCs w:val="22"/>
              </w:rPr>
              <w:t>-</w:t>
            </w:r>
          </w:p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741 612,9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926 663,0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185 050,1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816 948,1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869 310,6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10,3</w:t>
            </w:r>
          </w:p>
        </w:tc>
      </w:tr>
      <w:tr w:rsidR="007C12E6" w:rsidRPr="007C12E6" w:rsidTr="00E050C6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33 521,6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33 001,7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- 519,9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30 995,3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30 995,3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0,4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862 143,0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839 705,3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- 22 437,7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795 269,3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543 783,3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6,4</w:t>
            </w:r>
          </w:p>
        </w:tc>
      </w:tr>
      <w:tr w:rsidR="007C12E6" w:rsidRPr="007C12E6" w:rsidTr="00E050C6">
        <w:trPr>
          <w:trHeight w:val="58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587 691,0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548 544,3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- 39 146,7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434 493,0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572 639,9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6,8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1 533,2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308,0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- 1 225,2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4 354 726,7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4 684 516,4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EF326F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</w:t>
            </w:r>
            <w:r w:rsidR="00EF326F">
              <w:rPr>
                <w:sz w:val="16"/>
                <w:szCs w:val="22"/>
              </w:rPr>
              <w:t>2</w:t>
            </w:r>
            <w:r w:rsidRPr="007C12E6">
              <w:rPr>
                <w:sz w:val="16"/>
                <w:szCs w:val="22"/>
              </w:rPr>
              <w:t>9 789,7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4 859 250,6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4 909 074,9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58,2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Культура и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260 806,1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335 731,1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74 925,0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281 465,1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275 186,1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3,3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644 393,2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586 577,8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- 57 815,4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- 1,2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546 265,7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577 627,1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6,9</w:t>
            </w:r>
          </w:p>
        </w:tc>
      </w:tr>
      <w:tr w:rsidR="007C12E6" w:rsidRPr="007C12E6" w:rsidTr="00E050C6">
        <w:trPr>
          <w:trHeight w:val="3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32 458,1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29 181,9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- 3 276,2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40 582,6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25 781,9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0,3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12 746,6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12 676,1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12 676,1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12 676,1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0,2</w:t>
            </w:r>
          </w:p>
        </w:tc>
      </w:tr>
      <w:tr w:rsidR="007C12E6" w:rsidRPr="007C12E6" w:rsidTr="00E050C6">
        <w:trPr>
          <w:trHeight w:val="6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331 455,0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344 000,0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12 545,0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- 0,1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389 000,0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389 000,0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4,6</w:t>
            </w:r>
          </w:p>
        </w:tc>
      </w:tr>
      <w:tr w:rsidR="007C12E6" w:rsidRPr="007C12E6" w:rsidTr="00E050C6">
        <w:trPr>
          <w:trHeight w:val="61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</w:rPr>
            </w:pPr>
            <w:r w:rsidRPr="007C12E6">
              <w:rPr>
                <w:color w:val="00B050"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145 808,7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225 943,6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</w:rPr>
              <w:t>2,7</w:t>
            </w:r>
          </w:p>
        </w:tc>
      </w:tr>
      <w:tr w:rsidR="007C12E6" w:rsidRPr="007C12E6" w:rsidTr="00E050C6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right"/>
              <w:rPr>
                <w:b/>
                <w:bCs/>
                <w:color w:val="00B050"/>
                <w:sz w:val="16"/>
              </w:rPr>
            </w:pPr>
            <w:r w:rsidRPr="007C12E6">
              <w:rPr>
                <w:b/>
                <w:bCs/>
                <w:color w:val="00B050"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7 863 087,4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C0475A">
            <w:pPr>
              <w:ind w:right="-108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100</w:t>
            </w:r>
            <w:r w:rsidR="00C0475A">
              <w:rPr>
                <w:b/>
                <w:bCs/>
                <w:sz w:val="16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8 340 905,6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C0475A">
            <w:pPr>
              <w:ind w:right="-108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100</w:t>
            </w:r>
            <w:r w:rsidR="00C0475A">
              <w:rPr>
                <w:b/>
                <w:bCs/>
                <w:sz w:val="16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</w:rPr>
              <w:t>477 818,2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</w:rPr>
              <w:t>8 352 754,5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C0475A">
            <w:pPr>
              <w:ind w:right="-108"/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100</w:t>
            </w:r>
            <w:r w:rsidR="00C0475A">
              <w:rPr>
                <w:b/>
                <w:bCs/>
                <w:sz w:val="16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</w:rPr>
              <w:t>8 432 018,8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C0475A">
            <w:pPr>
              <w:ind w:right="-108"/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100</w:t>
            </w:r>
            <w:r w:rsidR="00C0475A">
              <w:rPr>
                <w:b/>
                <w:bCs/>
                <w:sz w:val="16"/>
                <w:szCs w:val="22"/>
              </w:rPr>
              <w:t>,0</w:t>
            </w:r>
          </w:p>
        </w:tc>
      </w:tr>
      <w:tr w:rsidR="007C12E6" w:rsidRPr="007C12E6" w:rsidTr="00E050C6">
        <w:trPr>
          <w:trHeight w:val="25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темп роста, 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</w:rPr>
            </w:pPr>
            <w:r w:rsidRPr="007C12E6">
              <w:rPr>
                <w:color w:val="00B050"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</w:rPr>
            </w:pPr>
            <w:r w:rsidRPr="007C12E6">
              <w:rPr>
                <w:sz w:val="16"/>
                <w:szCs w:val="22"/>
              </w:rPr>
              <w:t>100,9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</w:rPr>
            </w:pPr>
          </w:p>
        </w:tc>
      </w:tr>
      <w:tr w:rsidR="007C12E6" w:rsidRPr="007C12E6" w:rsidTr="00E050C6">
        <w:trPr>
          <w:trHeight w:val="43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</w:rPr>
            </w:pPr>
            <w:r w:rsidRPr="007C12E6">
              <w:rPr>
                <w:sz w:val="16"/>
                <w:szCs w:val="22"/>
              </w:rPr>
              <w:t>отклонение от предыдущего года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rPr>
                <w:color w:val="00B050"/>
                <w:sz w:val="16"/>
              </w:rPr>
            </w:pPr>
            <w:r w:rsidRPr="007C12E6">
              <w:rPr>
                <w:color w:val="00B050"/>
                <w:sz w:val="16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2E6" w:rsidRPr="007C12E6" w:rsidRDefault="007C12E6" w:rsidP="007C12E6">
            <w:pPr>
              <w:jc w:val="center"/>
              <w:rPr>
                <w:b/>
                <w:bCs/>
                <w:color w:val="00B050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color w:val="00B05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477 818,2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11 848,9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</w:rPr>
            </w:pPr>
            <w:r w:rsidRPr="007C12E6">
              <w:rPr>
                <w:b/>
                <w:bCs/>
                <w:sz w:val="16"/>
                <w:szCs w:val="22"/>
              </w:rPr>
              <w:t>79 264,3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00B050"/>
                <w:sz w:val="16"/>
              </w:rPr>
            </w:pPr>
          </w:p>
        </w:tc>
      </w:tr>
    </w:tbl>
    <w:p w:rsidR="007C12E6" w:rsidRPr="007C12E6" w:rsidRDefault="007C12E6" w:rsidP="007C12E6">
      <w:pPr>
        <w:jc w:val="both"/>
        <w:rPr>
          <w:color w:val="00B050"/>
          <w:sz w:val="25"/>
          <w:szCs w:val="25"/>
        </w:rPr>
      </w:pPr>
    </w:p>
    <w:p w:rsidR="007C12E6" w:rsidRPr="007C12E6" w:rsidRDefault="007C12E6" w:rsidP="00CC601B">
      <w:pPr>
        <w:ind w:firstLine="567"/>
        <w:jc w:val="both"/>
        <w:rPr>
          <w:color w:val="548DD4" w:themeColor="text2" w:themeTint="99"/>
          <w:sz w:val="25"/>
          <w:szCs w:val="25"/>
        </w:rPr>
      </w:pPr>
      <w:r w:rsidRPr="007C12E6">
        <w:rPr>
          <w:sz w:val="25"/>
          <w:szCs w:val="25"/>
        </w:rPr>
        <w:t>Увеличение бюджетных ассигнований на 2018 год на 477 818,2 тыс.руб.</w:t>
      </w:r>
      <w:r w:rsidRPr="007C12E6">
        <w:rPr>
          <w:color w:val="00B050"/>
          <w:sz w:val="25"/>
          <w:szCs w:val="25"/>
        </w:rPr>
        <w:t xml:space="preserve"> </w:t>
      </w:r>
      <w:r w:rsidRPr="007C12E6">
        <w:rPr>
          <w:sz w:val="25"/>
          <w:szCs w:val="25"/>
        </w:rPr>
        <w:t>или на 10,6% по проекту</w:t>
      </w:r>
      <w:r w:rsidRPr="007C12E6">
        <w:rPr>
          <w:color w:val="00B050"/>
          <w:sz w:val="25"/>
          <w:szCs w:val="25"/>
        </w:rPr>
        <w:t xml:space="preserve"> </w:t>
      </w:r>
      <w:r w:rsidRPr="007C12E6">
        <w:rPr>
          <w:sz w:val="25"/>
          <w:szCs w:val="25"/>
        </w:rPr>
        <w:t xml:space="preserve">решения по сравнению с 2017 годом запланировано за счет: </w:t>
      </w:r>
    </w:p>
    <w:p w:rsidR="007C12E6" w:rsidRPr="007C12E6" w:rsidRDefault="007C12E6" w:rsidP="00CC601B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1) сокращения расходов по</w:t>
      </w:r>
      <w:r w:rsidRPr="007C12E6">
        <w:rPr>
          <w:color w:val="548DD4" w:themeColor="text2" w:themeTint="99"/>
          <w:sz w:val="25"/>
          <w:szCs w:val="25"/>
        </w:rPr>
        <w:t xml:space="preserve"> </w:t>
      </w:r>
      <w:r w:rsidRPr="007C12E6">
        <w:rPr>
          <w:sz w:val="25"/>
          <w:szCs w:val="25"/>
        </w:rPr>
        <w:t xml:space="preserve">7 разделам на общую сумму 124 491,6 тыс.руб., в том числе в основном за счет сокращения расходов городского бюджета по разделам: </w:t>
      </w:r>
    </w:p>
    <w:p w:rsidR="007C12E6" w:rsidRPr="007C12E6" w:rsidRDefault="007C12E6" w:rsidP="00CC601B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- 04 «Национальная экономика» на 22 437,7 тыс.руб. или на 2,6%;</w:t>
      </w:r>
    </w:p>
    <w:p w:rsidR="007C12E6" w:rsidRPr="007C12E6" w:rsidRDefault="007C12E6" w:rsidP="00CC601B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- 05 «Жилищно-коммунальное хозяйство» на 39 146,7 тыс.руб. или на 6,7%; </w:t>
      </w:r>
    </w:p>
    <w:p w:rsidR="007C12E6" w:rsidRPr="007C12E6" w:rsidRDefault="007C12E6" w:rsidP="00CC601B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- 10 «Социальная политика» на 57 815,4 тыс.руб. или 9,0%.</w:t>
      </w:r>
    </w:p>
    <w:p w:rsidR="007C12E6" w:rsidRPr="007C12E6" w:rsidRDefault="007C12E6" w:rsidP="00CC601B">
      <w:pPr>
        <w:ind w:firstLine="567"/>
        <w:jc w:val="both"/>
        <w:rPr>
          <w:color w:val="548DD4" w:themeColor="text2" w:themeTint="99"/>
          <w:sz w:val="25"/>
          <w:szCs w:val="25"/>
        </w:rPr>
      </w:pPr>
      <w:r w:rsidRPr="007C12E6">
        <w:rPr>
          <w:sz w:val="25"/>
          <w:szCs w:val="25"/>
        </w:rPr>
        <w:t>2) увеличения по остальным 4 разделам на общую сумму 602 309,8 тыс.руб., в том числе по разделам:</w:t>
      </w:r>
    </w:p>
    <w:p w:rsidR="007C12E6" w:rsidRPr="007C12E6" w:rsidRDefault="007C12E6" w:rsidP="00CC601B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- 01 «Общегосударственные вопросы» на 185 050,1</w:t>
      </w:r>
      <w:r w:rsidRPr="007C12E6">
        <w:rPr>
          <w:color w:val="548DD4" w:themeColor="text2" w:themeTint="99"/>
          <w:sz w:val="25"/>
          <w:szCs w:val="25"/>
        </w:rPr>
        <w:t xml:space="preserve"> </w:t>
      </w:r>
      <w:r w:rsidRPr="007C12E6">
        <w:rPr>
          <w:sz w:val="25"/>
          <w:szCs w:val="25"/>
        </w:rPr>
        <w:t>тыс.руб. или 25,0%;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- 07 «Образование» на 3</w:t>
      </w:r>
      <w:r w:rsidR="00EF326F">
        <w:rPr>
          <w:sz w:val="25"/>
          <w:szCs w:val="25"/>
        </w:rPr>
        <w:t>2</w:t>
      </w:r>
      <w:r w:rsidRPr="007C12E6">
        <w:rPr>
          <w:sz w:val="25"/>
          <w:szCs w:val="25"/>
        </w:rPr>
        <w:t>9 789,7 тыс.руб. или на 7,</w:t>
      </w:r>
      <w:r w:rsidR="00093D2F">
        <w:rPr>
          <w:sz w:val="25"/>
          <w:szCs w:val="25"/>
        </w:rPr>
        <w:t>8</w:t>
      </w:r>
      <w:r w:rsidRPr="007C12E6">
        <w:rPr>
          <w:sz w:val="25"/>
          <w:szCs w:val="25"/>
        </w:rPr>
        <w:t>%;</w:t>
      </w:r>
    </w:p>
    <w:p w:rsidR="007C12E6" w:rsidRPr="007C12E6" w:rsidRDefault="007C12E6" w:rsidP="007C12E6">
      <w:pPr>
        <w:ind w:firstLine="567"/>
        <w:jc w:val="both"/>
        <w:rPr>
          <w:color w:val="548DD4" w:themeColor="text2" w:themeTint="99"/>
          <w:sz w:val="25"/>
          <w:szCs w:val="25"/>
        </w:rPr>
      </w:pPr>
      <w:r w:rsidRPr="007C12E6">
        <w:rPr>
          <w:sz w:val="25"/>
          <w:szCs w:val="25"/>
        </w:rPr>
        <w:t>- 08 «Культура, кинематография» на 74 925,0 тыс.руб. или 28,7%;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- 13 «Обслуживание государственного и муниципального долга» на 12 545,0 тыс.руб. или на 3,8%.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Основную долю в структуре расходов городского бюджета на 2018 год, аналогично 2017 году, занимают расходы по разделам: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«Образование» - 56,2%;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«Общегосударственные вопросы» - 11,1%;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«Национальная экономика» - 10,1%;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«Социальная политика» - 7,0%;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«Жилищно-коммунальное хозяйство» - 6,6%;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>- «Культура, кинематография» - 4,0%.</w:t>
      </w:r>
    </w:p>
    <w:p w:rsidR="001702EC" w:rsidRPr="00C223DD" w:rsidRDefault="00CC601B" w:rsidP="007C12E6">
      <w:pPr>
        <w:ind w:firstLine="567"/>
        <w:jc w:val="both"/>
        <w:rPr>
          <w:sz w:val="25"/>
          <w:szCs w:val="25"/>
        </w:rPr>
      </w:pPr>
      <w:proofErr w:type="gramStart"/>
      <w:r w:rsidRPr="00C223DD">
        <w:rPr>
          <w:sz w:val="25"/>
          <w:szCs w:val="25"/>
        </w:rPr>
        <w:t xml:space="preserve">В ходе экспертизы установлено, что </w:t>
      </w:r>
      <w:r w:rsidR="00E371C6" w:rsidRPr="00C223DD">
        <w:rPr>
          <w:sz w:val="25"/>
          <w:szCs w:val="25"/>
        </w:rPr>
        <w:t>предусмотренные в</w:t>
      </w:r>
      <w:r w:rsidR="007C12E6" w:rsidRPr="00C223DD">
        <w:rPr>
          <w:sz w:val="25"/>
          <w:szCs w:val="25"/>
        </w:rPr>
        <w:t xml:space="preserve"> </w:t>
      </w:r>
      <w:r w:rsidR="00E371C6" w:rsidRPr="00C223DD">
        <w:rPr>
          <w:sz w:val="25"/>
          <w:szCs w:val="25"/>
        </w:rPr>
        <w:t xml:space="preserve">текстовой части </w:t>
      </w:r>
      <w:r w:rsidR="007C12E6" w:rsidRPr="00C223DD">
        <w:rPr>
          <w:sz w:val="25"/>
          <w:szCs w:val="25"/>
        </w:rPr>
        <w:t xml:space="preserve">проекта </w:t>
      </w:r>
      <w:r w:rsidR="00E371C6" w:rsidRPr="00C223DD">
        <w:rPr>
          <w:sz w:val="25"/>
          <w:szCs w:val="25"/>
        </w:rPr>
        <w:t xml:space="preserve">решения </w:t>
      </w:r>
      <w:r w:rsidR="007C12E6" w:rsidRPr="00C223DD">
        <w:rPr>
          <w:sz w:val="25"/>
          <w:szCs w:val="25"/>
        </w:rPr>
        <w:t xml:space="preserve">(п.2 ч.2 ст.1 проекта решения) условно утвержденные расходы </w:t>
      </w:r>
      <w:r w:rsidR="00E371C6" w:rsidRPr="00C223DD">
        <w:rPr>
          <w:sz w:val="25"/>
          <w:szCs w:val="25"/>
        </w:rPr>
        <w:t>на 2020 год, составили 4</w:t>
      </w:r>
      <w:r w:rsidR="004E5C73" w:rsidRPr="00C223DD">
        <w:rPr>
          <w:sz w:val="25"/>
          <w:szCs w:val="25"/>
        </w:rPr>
        <w:t>,8%</w:t>
      </w:r>
      <w:r w:rsidR="00E371C6" w:rsidRPr="00C223DD">
        <w:rPr>
          <w:sz w:val="25"/>
          <w:szCs w:val="25"/>
        </w:rPr>
        <w:t xml:space="preserve">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="00042580">
        <w:rPr>
          <w:sz w:val="25"/>
          <w:szCs w:val="25"/>
        </w:rPr>
        <w:t xml:space="preserve">тогда как в соответствии с </w:t>
      </w:r>
      <w:r w:rsidR="004E5C73" w:rsidRPr="00C223DD">
        <w:rPr>
          <w:sz w:val="25"/>
          <w:szCs w:val="25"/>
        </w:rPr>
        <w:t>п.3 ст.184.1 БК</w:t>
      </w:r>
      <w:proofErr w:type="gramEnd"/>
      <w:r w:rsidR="004E5C73" w:rsidRPr="00C223DD">
        <w:rPr>
          <w:sz w:val="25"/>
          <w:szCs w:val="25"/>
        </w:rPr>
        <w:t xml:space="preserve"> РФ </w:t>
      </w:r>
      <w:r w:rsidR="00042580">
        <w:rPr>
          <w:sz w:val="25"/>
          <w:szCs w:val="25"/>
        </w:rPr>
        <w:t>данный показатель должен составить не менее</w:t>
      </w:r>
      <w:r w:rsidR="00042580" w:rsidRPr="00042580">
        <w:rPr>
          <w:sz w:val="25"/>
          <w:szCs w:val="25"/>
        </w:rPr>
        <w:t xml:space="preserve"> </w:t>
      </w:r>
      <w:r w:rsidR="00E371C6" w:rsidRPr="00C223DD">
        <w:rPr>
          <w:sz w:val="25"/>
          <w:szCs w:val="25"/>
        </w:rPr>
        <w:t>5%</w:t>
      </w:r>
      <w:r w:rsidR="004E5C73" w:rsidRPr="00C223DD">
        <w:rPr>
          <w:sz w:val="25"/>
          <w:szCs w:val="25"/>
        </w:rPr>
        <w:t xml:space="preserve">. 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В проекте городского бюджета на 2018 год и на плановый период 2019 и 2020 годов предусмотрены бюджетные ассигнования по 20 главным распорядителям средств городского бюджета. 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lastRenderedPageBreak/>
        <w:t>Сводная информация по главным распорядителям средств городского бюджета приведена ниже в таблице.</w:t>
      </w:r>
    </w:p>
    <w:p w:rsidR="007C12E6" w:rsidRPr="00793394" w:rsidRDefault="007C12E6" w:rsidP="007C12E6">
      <w:pPr>
        <w:ind w:firstLine="567"/>
        <w:jc w:val="both"/>
        <w:rPr>
          <w:color w:val="548DD4" w:themeColor="text2" w:themeTint="99"/>
          <w:sz w:val="16"/>
          <w:szCs w:val="16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809"/>
        <w:gridCol w:w="993"/>
        <w:gridCol w:w="567"/>
        <w:gridCol w:w="993"/>
        <w:gridCol w:w="567"/>
        <w:gridCol w:w="991"/>
        <w:gridCol w:w="567"/>
        <w:gridCol w:w="992"/>
        <w:gridCol w:w="567"/>
        <w:gridCol w:w="992"/>
        <w:gridCol w:w="567"/>
      </w:tblGrid>
      <w:tr w:rsidR="007C12E6" w:rsidRPr="007C12E6" w:rsidTr="00867FEB">
        <w:trPr>
          <w:trHeight w:val="30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ГР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93394" w:rsidRDefault="007C12E6" w:rsidP="007C12E6">
            <w:pPr>
              <w:jc w:val="center"/>
              <w:rPr>
                <w:color w:val="548DD4" w:themeColor="text2" w:themeTint="99"/>
                <w:sz w:val="15"/>
                <w:szCs w:val="15"/>
              </w:rPr>
            </w:pPr>
            <w:r w:rsidRPr="00793394">
              <w:rPr>
                <w:sz w:val="15"/>
                <w:szCs w:val="15"/>
              </w:rPr>
              <w:t>Решение о городском бюджете на 2017 год (в ред. от 25.10.2017 №583)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Проект городского бюджета</w:t>
            </w:r>
          </w:p>
        </w:tc>
      </w:tr>
      <w:tr w:rsidR="007C12E6" w:rsidRPr="007C12E6" w:rsidTr="00793394">
        <w:trPr>
          <w:trHeight w:val="3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2020 год</w:t>
            </w:r>
          </w:p>
        </w:tc>
      </w:tr>
      <w:tr w:rsidR="007C12E6" w:rsidRPr="007C12E6" w:rsidTr="00867FEB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в % к ито-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гу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в % к ито-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гу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в % к ито-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гу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сумма, тыс.руб.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в % к ито-</w:t>
            </w:r>
          </w:p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гу</w:t>
            </w:r>
          </w:p>
        </w:tc>
      </w:tr>
      <w:tr w:rsidR="007C12E6" w:rsidRPr="007C12E6" w:rsidTr="00867FEB">
        <w:trPr>
          <w:trHeight w:val="854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тыс.руб. (гр.7-гр.5)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% (гр.8-гр.6)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E6" w:rsidRPr="007C12E6" w:rsidRDefault="007C12E6" w:rsidP="007C12E6">
            <w:pPr>
              <w:rPr>
                <w:color w:val="548DD4" w:themeColor="text2" w:themeTint="99"/>
                <w:sz w:val="16"/>
                <w:szCs w:val="16"/>
              </w:rPr>
            </w:pPr>
          </w:p>
        </w:tc>
      </w:tr>
      <w:tr w:rsidR="007C12E6" w:rsidRPr="007C12E6" w:rsidTr="00867FEB">
        <w:trPr>
          <w:trHeight w:val="3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</w:t>
            </w:r>
          </w:p>
        </w:tc>
      </w:tr>
      <w:tr w:rsidR="007C12E6" w:rsidRPr="007C12E6" w:rsidTr="00867FEB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409 521,8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429 164,3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19 642,5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421 200,1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416 896,3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5,1</w:t>
            </w:r>
          </w:p>
        </w:tc>
      </w:tr>
      <w:tr w:rsidR="007C12E6" w:rsidRPr="007C12E6" w:rsidTr="00867FEB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Ломоносовского территориального округа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18 606,4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35 330,4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16 724,0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18 857,9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15 592,1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</w:tr>
      <w:tr w:rsidR="007C12E6" w:rsidRPr="007C12E6" w:rsidTr="00867FEB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территориального округа Варавино-Фактория Администрации </w:t>
            </w:r>
            <w:r w:rsidR="006F7D7C">
              <w:rPr>
                <w:sz w:val="16"/>
                <w:szCs w:val="16"/>
              </w:rPr>
              <w:t xml:space="preserve">МО </w:t>
            </w:r>
            <w:r w:rsidRPr="007C12E6">
              <w:rPr>
                <w:sz w:val="16"/>
                <w:szCs w:val="16"/>
              </w:rPr>
              <w:t>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11 091,1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10 106 ,8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- 984,3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9 187,6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9 386,8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Маймаксанского территориального округа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17 350,0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15 333,6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-2 016,4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14 134,0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14 333,3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</w:tr>
      <w:tr w:rsidR="007C12E6" w:rsidRPr="007C12E6" w:rsidTr="00867FEB">
        <w:trPr>
          <w:trHeight w:val="2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территориального округа Майская горка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  <w:r w:rsidR="006F7D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10 233,0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9 234,4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- 998,6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8 877,6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8 877,6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Октябрьского территориального округа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23 051,7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21 660,7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- 1 391,0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18 964,5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19 064,1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</w:tr>
      <w:tr w:rsidR="007C12E6" w:rsidRPr="007C12E6" w:rsidTr="00867FEB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Исакогорского и Цигломенского территориальных округов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12 418,7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11 560,7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- 858,0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10 497,0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10 596,6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Соломбальского территориального округа Администрации </w:t>
            </w:r>
            <w:r w:rsidR="006F7D7C">
              <w:rPr>
                <w:sz w:val="16"/>
                <w:szCs w:val="16"/>
              </w:rPr>
              <w:t xml:space="preserve">МО </w:t>
            </w:r>
            <w:r w:rsidRPr="007C12E6">
              <w:rPr>
                <w:sz w:val="16"/>
                <w:szCs w:val="16"/>
              </w:rPr>
              <w:t>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14 157,5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12 589,6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- 1 567,9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11 746,8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11 746,8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администрация Северного территориального округа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10 336,1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9 679,6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- 656,5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8 841,9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8 974,7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45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867FEB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департамент финансов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454 085,5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637 197,6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183 112,1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601 317,6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650 028,3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7,9</w:t>
            </w:r>
          </w:p>
        </w:tc>
      </w:tr>
      <w:tr w:rsidR="007C12E6" w:rsidRPr="007C12E6" w:rsidTr="00867FEB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Архангельская городская Дума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41 513,8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43 279,2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1 765,4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41 015,8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41 015,8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0,5</w:t>
            </w:r>
          </w:p>
        </w:tc>
      </w:tr>
      <w:tr w:rsidR="007C12E6" w:rsidRPr="007C12E6" w:rsidTr="00867FEB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департамент муниципального имущества Администрации </w:t>
            </w:r>
            <w:r w:rsidR="006F7D7C">
              <w:rPr>
                <w:sz w:val="16"/>
                <w:szCs w:val="16"/>
              </w:rPr>
              <w:t xml:space="preserve">МО </w:t>
            </w:r>
            <w:r w:rsidRPr="007C12E6">
              <w:rPr>
                <w:sz w:val="16"/>
                <w:szCs w:val="16"/>
              </w:rPr>
              <w:t>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52 960,4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49 261,7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- 3 698,7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47 328,1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47 793,2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0,6</w:t>
            </w:r>
          </w:p>
        </w:tc>
      </w:tr>
      <w:tr w:rsidR="007C12E6" w:rsidRPr="007C12E6" w:rsidTr="00867FEB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lastRenderedPageBreak/>
              <w:t>815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департамент образования Администрации </w:t>
            </w:r>
            <w:r w:rsidR="006F7D7C">
              <w:rPr>
                <w:sz w:val="16"/>
                <w:szCs w:val="16"/>
              </w:rPr>
              <w:t xml:space="preserve">МО 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3 997874,5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4 371 369,1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373 494,6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4 404 491,6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4 554 821,5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55,5</w:t>
            </w:r>
          </w:p>
        </w:tc>
      </w:tr>
      <w:tr w:rsidR="007C12E6" w:rsidRPr="007C12E6" w:rsidTr="00867FEB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управление по вопросам семьи, опеки и попечительства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215 943,8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163 867,5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- 52</w:t>
            </w:r>
            <w:r w:rsidR="00710D3D">
              <w:rPr>
                <w:sz w:val="16"/>
                <w:szCs w:val="16"/>
              </w:rPr>
              <w:t xml:space="preserve"> </w:t>
            </w:r>
            <w:r w:rsidRPr="007C12E6">
              <w:rPr>
                <w:sz w:val="16"/>
                <w:szCs w:val="16"/>
              </w:rPr>
              <w:t>076,3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145 998,7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168 112,2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2,0</w:t>
            </w:r>
          </w:p>
        </w:tc>
      </w:tr>
      <w:tr w:rsidR="007C12E6" w:rsidRPr="007C12E6" w:rsidTr="00867FEB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управление культуры и молодежной политики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408 042,9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482 398,8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74 355,9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422 045,1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422 045,1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5,1</w:t>
            </w:r>
          </w:p>
        </w:tc>
      </w:tr>
      <w:tr w:rsidR="007C12E6" w:rsidRPr="007C12E6" w:rsidTr="00867FEB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управление по физической культуре и спорту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230 227,1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226 265,1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- 3 962,0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223 775,9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220 149,7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2,7</w:t>
            </w:r>
          </w:p>
        </w:tc>
      </w:tr>
      <w:tr w:rsidR="007C12E6" w:rsidRPr="007C12E6" w:rsidTr="00867FEB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избирательная комиссия муниципального образования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3 994,3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15 820,7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11 826,4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4 220,7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4 220,7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867FEB">
        <w:trPr>
          <w:trHeight w:val="2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контрольно-счетная палата муниципального образования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11 913,4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11 962,4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49,0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11 962,4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11 962,4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0,1</w:t>
            </w:r>
          </w:p>
        </w:tc>
      </w:tr>
      <w:tr w:rsidR="007C12E6" w:rsidRPr="007C12E6" w:rsidTr="00161D47">
        <w:trPr>
          <w:trHeight w:val="75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821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департамент городского хозяйства Администрации </w:t>
            </w:r>
            <w:r w:rsidR="006F7D7C">
              <w:rPr>
                <w:sz w:val="16"/>
                <w:szCs w:val="16"/>
              </w:rPr>
              <w:t>МО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1 066 749,3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604 393,3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- 462 356,0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- 6,3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599 773,5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607 724,9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7,4</w:t>
            </w:r>
          </w:p>
        </w:tc>
      </w:tr>
      <w:tr w:rsidR="007C12E6" w:rsidRPr="007C12E6" w:rsidTr="00867FEB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822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12E6" w:rsidRPr="007C12E6" w:rsidRDefault="007C12E6" w:rsidP="006F7D7C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 xml:space="preserve">департамент транспорта, строительства и городской инфраструктуры Администрации </w:t>
            </w:r>
            <w:r w:rsidR="006F7D7C">
              <w:rPr>
                <w:sz w:val="16"/>
                <w:szCs w:val="16"/>
              </w:rPr>
              <w:t xml:space="preserve">МО </w:t>
            </w:r>
            <w:r w:rsidRPr="007C12E6">
              <w:rPr>
                <w:sz w:val="16"/>
                <w:szCs w:val="16"/>
              </w:rPr>
              <w:t xml:space="preserve"> "Город Архангельск"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867FEB">
            <w:pPr>
              <w:ind w:hanging="43"/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853 016,1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1 180 430,1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327 414,0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1 182 709,0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962 733,1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11,7</w:t>
            </w:r>
          </w:p>
        </w:tc>
      </w:tr>
      <w:tr w:rsidR="007C12E6" w:rsidRPr="007C12E6" w:rsidTr="00867FEB">
        <w:trPr>
          <w:trHeight w:val="42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7 863 087,4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9F3D6D">
            <w:pPr>
              <w:ind w:right="-107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100</w:t>
            </w:r>
            <w:r w:rsidR="009F3D6D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8 340 905,6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9F3D6D">
            <w:pPr>
              <w:ind w:right="-106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100</w:t>
            </w:r>
            <w:r w:rsidR="009F3D6D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477 818,2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8 206 945,8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9F3D6D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100</w:t>
            </w:r>
            <w:r w:rsidR="009F3D6D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8 206 075,2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9F3D6D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100</w:t>
            </w:r>
            <w:r w:rsidR="009F3D6D">
              <w:rPr>
                <w:b/>
                <w:bCs/>
                <w:sz w:val="16"/>
                <w:szCs w:val="16"/>
              </w:rPr>
              <w:t>,0</w:t>
            </w:r>
          </w:p>
        </w:tc>
      </w:tr>
      <w:tr w:rsidR="007C12E6" w:rsidRPr="007C12E6" w:rsidTr="00867FEB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условно утвержденные расходы</w:t>
            </w:r>
            <w:r w:rsidR="00EF326F">
              <w:rPr>
                <w:sz w:val="16"/>
                <w:szCs w:val="16"/>
              </w:rPr>
              <w:t xml:space="preserve"> (проект решения</w:t>
            </w:r>
            <w:r w:rsidR="00161D47">
              <w:rPr>
                <w:sz w:val="16"/>
                <w:szCs w:val="16"/>
              </w:rPr>
              <w:t xml:space="preserve"> о городском бюджете</w:t>
            </w:r>
            <w:r w:rsidR="00EF326F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145 808,7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225 943,6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</w:tr>
      <w:tr w:rsidR="007C12E6" w:rsidRPr="007C12E6" w:rsidTr="00867FE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color w:val="548DD4" w:themeColor="text2" w:themeTint="99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rPr>
                <w:sz w:val="16"/>
                <w:szCs w:val="16"/>
              </w:rPr>
            </w:pPr>
            <w:r w:rsidRPr="007C12E6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7 863 087,4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8 340 905,6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8 352 754,5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2E6" w:rsidRPr="007C12E6" w:rsidRDefault="007C12E6" w:rsidP="007C12E6">
            <w:pPr>
              <w:jc w:val="center"/>
              <w:rPr>
                <w:b/>
                <w:bCs/>
                <w:sz w:val="16"/>
                <w:szCs w:val="16"/>
              </w:rPr>
            </w:pPr>
            <w:r w:rsidRPr="007C12E6">
              <w:rPr>
                <w:b/>
                <w:bCs/>
                <w:sz w:val="16"/>
                <w:szCs w:val="16"/>
              </w:rPr>
              <w:t>8 432 018,8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2E6" w:rsidRPr="007C12E6" w:rsidRDefault="007C12E6" w:rsidP="007C12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7C12E6" w:rsidRPr="007C12E6" w:rsidRDefault="007C12E6" w:rsidP="007C12E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Наибольший объем расходов в 2018 году и плановом периоде 2019 и 2020 годов приходится на департамент образования Администрации </w:t>
      </w:r>
      <w:r w:rsidR="006F7D7C">
        <w:rPr>
          <w:sz w:val="25"/>
          <w:szCs w:val="25"/>
        </w:rPr>
        <w:t>МО</w:t>
      </w:r>
      <w:r w:rsidRPr="007C12E6">
        <w:rPr>
          <w:sz w:val="25"/>
          <w:szCs w:val="25"/>
        </w:rPr>
        <w:t xml:space="preserve"> «Город Архангельск». 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По департаменту образования Администрации </w:t>
      </w:r>
      <w:r w:rsidR="00194B8C">
        <w:rPr>
          <w:sz w:val="25"/>
          <w:szCs w:val="25"/>
        </w:rPr>
        <w:t>МО</w:t>
      </w:r>
      <w:r w:rsidRPr="007C12E6">
        <w:rPr>
          <w:sz w:val="25"/>
          <w:szCs w:val="25"/>
        </w:rPr>
        <w:t xml:space="preserve"> «Город Архангельск» доля расходов в общем объеме расходов городского бюджета увеличивается с 52,4% в 2018 году до 55,5% в 2020 году по сравнению с 50,8% в 2017 году. По департаменту транспорта, строительства и городской инфраструктуры Администрации </w:t>
      </w:r>
      <w:r w:rsidR="006F7D7C">
        <w:rPr>
          <w:sz w:val="25"/>
          <w:szCs w:val="25"/>
        </w:rPr>
        <w:t>МО</w:t>
      </w:r>
      <w:r w:rsidRPr="007C12E6">
        <w:rPr>
          <w:sz w:val="25"/>
          <w:szCs w:val="25"/>
        </w:rPr>
        <w:t xml:space="preserve"> «Город Архангельск» доля расходов уменьшается с 14,2% в 2018 году до 11,7% в 2020 году. </w:t>
      </w:r>
    </w:p>
    <w:p w:rsidR="007C12E6" w:rsidRPr="007C12E6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Уменьшение расходов городского бюджета на 2018 год по сравнению с 2017 годом предусмотрено по 11 главным распорядителям средств городского бюджета в основном за счет уменьшения расходов по департаменту городского хозяйства Администрации </w:t>
      </w:r>
      <w:r w:rsidR="00C011DD">
        <w:rPr>
          <w:sz w:val="25"/>
          <w:szCs w:val="25"/>
        </w:rPr>
        <w:t>МО</w:t>
      </w:r>
      <w:r w:rsidRPr="007C12E6">
        <w:rPr>
          <w:sz w:val="25"/>
          <w:szCs w:val="25"/>
        </w:rPr>
        <w:t xml:space="preserve"> «Город Архангельск» на 462 356,0 тыс</w:t>
      </w:r>
      <w:proofErr w:type="gramStart"/>
      <w:r w:rsidRPr="007C12E6">
        <w:rPr>
          <w:sz w:val="25"/>
          <w:szCs w:val="25"/>
        </w:rPr>
        <w:t>.р</w:t>
      </w:r>
      <w:proofErr w:type="gramEnd"/>
      <w:r w:rsidRPr="007C12E6">
        <w:rPr>
          <w:sz w:val="25"/>
          <w:szCs w:val="25"/>
        </w:rPr>
        <w:t>уб.</w:t>
      </w:r>
    </w:p>
    <w:p w:rsidR="00F64780" w:rsidRDefault="007C12E6" w:rsidP="007C12E6">
      <w:pPr>
        <w:ind w:firstLine="567"/>
        <w:jc w:val="both"/>
        <w:rPr>
          <w:sz w:val="25"/>
          <w:szCs w:val="25"/>
        </w:rPr>
      </w:pPr>
      <w:r w:rsidRPr="007C12E6">
        <w:rPr>
          <w:sz w:val="25"/>
          <w:szCs w:val="25"/>
        </w:rPr>
        <w:t xml:space="preserve">По 9 главным распорядителям средств городского бюджета предусмотрено увеличение расходов, наибольший рост наблюдается по департаменту образования Администрации </w:t>
      </w:r>
      <w:r w:rsidR="00C011DD">
        <w:rPr>
          <w:sz w:val="25"/>
          <w:szCs w:val="25"/>
        </w:rPr>
        <w:t>МО</w:t>
      </w:r>
      <w:r w:rsidRPr="007C12E6">
        <w:rPr>
          <w:sz w:val="25"/>
          <w:szCs w:val="25"/>
        </w:rPr>
        <w:t xml:space="preserve"> «Город Архангельск» на 373 494,6 тыс</w:t>
      </w:r>
      <w:proofErr w:type="gramStart"/>
      <w:r w:rsidRPr="007C12E6">
        <w:rPr>
          <w:sz w:val="25"/>
          <w:szCs w:val="25"/>
        </w:rPr>
        <w:t>.р</w:t>
      </w:r>
      <w:proofErr w:type="gramEnd"/>
      <w:r w:rsidRPr="007C12E6">
        <w:rPr>
          <w:sz w:val="25"/>
          <w:szCs w:val="25"/>
        </w:rPr>
        <w:t>уб., из них по разделу 0701 «Дошкольное образование» на 251 227,6 тыс.руб. или 67,3%,</w:t>
      </w:r>
      <w:r w:rsidRPr="007C12E6">
        <w:rPr>
          <w:color w:val="548DD4" w:themeColor="text2" w:themeTint="99"/>
          <w:sz w:val="25"/>
          <w:szCs w:val="25"/>
        </w:rPr>
        <w:t xml:space="preserve"> </w:t>
      </w:r>
      <w:r w:rsidRPr="007C12E6">
        <w:rPr>
          <w:sz w:val="25"/>
          <w:szCs w:val="25"/>
        </w:rPr>
        <w:t>по разделу 0702 «Общее образование» на 103 232,4 тыс.руб. или 27,6%.</w:t>
      </w:r>
      <w:r w:rsidR="006F2B64">
        <w:rPr>
          <w:sz w:val="25"/>
          <w:szCs w:val="25"/>
        </w:rPr>
        <w:t xml:space="preserve"> Также увеличение расходов наблюдается по департаменту транспорта, строительства и городской инфраструктуры </w:t>
      </w:r>
      <w:r w:rsidR="006F2B64" w:rsidRPr="006F2B64">
        <w:rPr>
          <w:sz w:val="25"/>
          <w:szCs w:val="25"/>
        </w:rPr>
        <w:t xml:space="preserve">Администрации </w:t>
      </w:r>
      <w:r w:rsidR="00C011DD">
        <w:rPr>
          <w:sz w:val="25"/>
          <w:szCs w:val="25"/>
        </w:rPr>
        <w:t>МО</w:t>
      </w:r>
      <w:r w:rsidR="006F2B64" w:rsidRPr="006F2B64">
        <w:rPr>
          <w:sz w:val="25"/>
          <w:szCs w:val="25"/>
        </w:rPr>
        <w:t xml:space="preserve"> «Город Архангельск»</w:t>
      </w:r>
      <w:r w:rsidR="006F2B64">
        <w:rPr>
          <w:sz w:val="25"/>
          <w:szCs w:val="25"/>
        </w:rPr>
        <w:t xml:space="preserve"> на 327 414,0 тыс</w:t>
      </w:r>
      <w:proofErr w:type="gramStart"/>
      <w:r w:rsidR="006F2B64">
        <w:rPr>
          <w:sz w:val="25"/>
          <w:szCs w:val="25"/>
        </w:rPr>
        <w:t>.р</w:t>
      </w:r>
      <w:proofErr w:type="gramEnd"/>
      <w:r w:rsidR="006F2B64">
        <w:rPr>
          <w:sz w:val="25"/>
          <w:szCs w:val="25"/>
        </w:rPr>
        <w:t xml:space="preserve">уб., из них </w:t>
      </w:r>
      <w:r w:rsidR="00811611">
        <w:rPr>
          <w:sz w:val="25"/>
          <w:szCs w:val="25"/>
        </w:rPr>
        <w:t xml:space="preserve">наибольшее </w:t>
      </w:r>
      <w:r w:rsidR="006F2B64">
        <w:rPr>
          <w:sz w:val="25"/>
          <w:szCs w:val="25"/>
        </w:rPr>
        <w:t>по</w:t>
      </w:r>
      <w:r w:rsidR="00F64780">
        <w:rPr>
          <w:sz w:val="25"/>
          <w:szCs w:val="25"/>
        </w:rPr>
        <w:t>:</w:t>
      </w:r>
    </w:p>
    <w:p w:rsidR="00F64780" w:rsidRDefault="00F64780" w:rsidP="007C12E6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6F2B64">
        <w:rPr>
          <w:sz w:val="25"/>
          <w:szCs w:val="25"/>
        </w:rPr>
        <w:t xml:space="preserve"> разделу </w:t>
      </w:r>
      <w:r w:rsidR="00EC753E">
        <w:rPr>
          <w:sz w:val="25"/>
          <w:szCs w:val="25"/>
        </w:rPr>
        <w:t>0408 «Транспорт» на сумму 125 185,8 тыс.руб.</w:t>
      </w:r>
      <w:r w:rsidR="0050294F">
        <w:rPr>
          <w:sz w:val="25"/>
          <w:szCs w:val="25"/>
        </w:rPr>
        <w:t xml:space="preserve"> или 61,8%</w:t>
      </w:r>
      <w:r>
        <w:rPr>
          <w:sz w:val="25"/>
          <w:szCs w:val="25"/>
        </w:rPr>
        <w:t>;</w:t>
      </w:r>
      <w:r w:rsidR="00EC753E">
        <w:rPr>
          <w:sz w:val="25"/>
          <w:szCs w:val="25"/>
        </w:rPr>
        <w:t xml:space="preserve"> </w:t>
      </w:r>
    </w:p>
    <w:p w:rsidR="00F64780" w:rsidRDefault="00F64780" w:rsidP="007C12E6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- </w:t>
      </w:r>
      <w:r w:rsidR="00EC753E">
        <w:rPr>
          <w:sz w:val="25"/>
          <w:szCs w:val="25"/>
        </w:rPr>
        <w:t xml:space="preserve">разделу </w:t>
      </w:r>
      <w:r w:rsidR="00641E0C">
        <w:rPr>
          <w:sz w:val="25"/>
          <w:szCs w:val="25"/>
        </w:rPr>
        <w:t>0</w:t>
      </w:r>
      <w:r w:rsidR="00811611">
        <w:rPr>
          <w:sz w:val="25"/>
          <w:szCs w:val="25"/>
        </w:rPr>
        <w:t>40</w:t>
      </w:r>
      <w:r w:rsidR="00E42068">
        <w:rPr>
          <w:sz w:val="25"/>
          <w:szCs w:val="25"/>
        </w:rPr>
        <w:t>9</w:t>
      </w:r>
      <w:r w:rsidR="00811611">
        <w:rPr>
          <w:sz w:val="25"/>
          <w:szCs w:val="25"/>
        </w:rPr>
        <w:t xml:space="preserve"> «</w:t>
      </w:r>
      <w:r w:rsidR="00E42068">
        <w:rPr>
          <w:sz w:val="25"/>
          <w:szCs w:val="25"/>
        </w:rPr>
        <w:t>Дорожное хозяйство (дорожные фонды)</w:t>
      </w:r>
      <w:r w:rsidR="00811611">
        <w:rPr>
          <w:sz w:val="25"/>
          <w:szCs w:val="25"/>
        </w:rPr>
        <w:t>»</w:t>
      </w:r>
      <w:r w:rsidR="00E42068">
        <w:rPr>
          <w:sz w:val="25"/>
          <w:szCs w:val="25"/>
        </w:rPr>
        <w:t xml:space="preserve"> на </w:t>
      </w:r>
      <w:r w:rsidR="00EC753E">
        <w:rPr>
          <w:sz w:val="25"/>
          <w:szCs w:val="25"/>
        </w:rPr>
        <w:t>70 574,4 тыс.руб.</w:t>
      </w:r>
      <w:r w:rsidR="0050294F">
        <w:rPr>
          <w:sz w:val="25"/>
          <w:szCs w:val="25"/>
        </w:rPr>
        <w:t xml:space="preserve"> или 21,6%</w:t>
      </w:r>
      <w:r>
        <w:rPr>
          <w:sz w:val="25"/>
          <w:szCs w:val="25"/>
        </w:rPr>
        <w:t>;</w:t>
      </w:r>
      <w:r w:rsidR="00EC753E">
        <w:rPr>
          <w:sz w:val="25"/>
          <w:szCs w:val="25"/>
        </w:rPr>
        <w:t xml:space="preserve"> </w:t>
      </w:r>
    </w:p>
    <w:p w:rsidR="007C12E6" w:rsidRPr="007C12E6" w:rsidRDefault="00F64780" w:rsidP="007C12E6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EC753E">
        <w:rPr>
          <w:sz w:val="25"/>
          <w:szCs w:val="25"/>
        </w:rPr>
        <w:t>разделу 0503 «Благоустройство»  на 48 893,2 тыс.руб.</w:t>
      </w:r>
      <w:r w:rsidR="0050294F">
        <w:rPr>
          <w:sz w:val="25"/>
          <w:szCs w:val="25"/>
        </w:rPr>
        <w:t xml:space="preserve"> или 15%.</w:t>
      </w:r>
      <w:r w:rsidR="00811611">
        <w:rPr>
          <w:sz w:val="25"/>
          <w:szCs w:val="25"/>
        </w:rPr>
        <w:t xml:space="preserve"> </w:t>
      </w:r>
    </w:p>
    <w:p w:rsidR="00854F58" w:rsidRDefault="00854F58" w:rsidP="007C12E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BC1F32" w:rsidRPr="0018785F" w:rsidRDefault="0070722F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  <w:r w:rsidRPr="00362D99">
        <w:rPr>
          <w:b/>
          <w:sz w:val="25"/>
          <w:szCs w:val="25"/>
        </w:rPr>
        <w:t>4.2.</w:t>
      </w:r>
      <w:r w:rsidRPr="00362D99">
        <w:rPr>
          <w:sz w:val="25"/>
          <w:szCs w:val="25"/>
        </w:rPr>
        <w:t xml:space="preserve"> </w:t>
      </w:r>
      <w:r w:rsidR="00BC1F32" w:rsidRPr="0018785F">
        <w:rPr>
          <w:sz w:val="25"/>
          <w:szCs w:val="25"/>
        </w:rPr>
        <w:t xml:space="preserve">В соответствии с проектом решения (статья 5 текстовой части проекта решения) на 2018 -2020 годы предусмотрено предоставление </w:t>
      </w:r>
      <w:r w:rsidR="00BC1F32" w:rsidRPr="0018785F">
        <w:rPr>
          <w:b/>
          <w:sz w:val="25"/>
          <w:szCs w:val="25"/>
        </w:rPr>
        <w:t>субсидий</w:t>
      </w:r>
      <w:r w:rsidR="00BC1F32" w:rsidRPr="0018785F">
        <w:rPr>
          <w:sz w:val="25"/>
          <w:szCs w:val="25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предпринимателям, физическим лицам и иным некоммерческим организациям, не являющимся муниципальными учреждениями, в том числе:</w:t>
      </w:r>
    </w:p>
    <w:p w:rsidR="00BC1F32" w:rsidRDefault="00BC1F32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  <w:r w:rsidRPr="0018785F">
        <w:rPr>
          <w:sz w:val="25"/>
          <w:szCs w:val="25"/>
        </w:rPr>
        <w:t>1) по части 1 статьи 5 проекта решения - юридическим лицам (за исключением субсидий муниципальным учреждениям), индивидуальным предпринимателям, физическим лицам по 8 пунктам (направлениям), из них субсидии предоставляются по 2 пунктам - на возмещение убытков и по 6 пунктам - на возмещение затрат.</w:t>
      </w:r>
    </w:p>
    <w:p w:rsidR="00BC1F32" w:rsidRDefault="00BC1F32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проекте решения на 2018-2020 годы запланирован объем субсидий </w:t>
      </w:r>
      <w:r w:rsidRPr="0018785F">
        <w:rPr>
          <w:sz w:val="25"/>
          <w:szCs w:val="25"/>
        </w:rPr>
        <w:t>юридическим лицам (за исключением субсидий муниципальным учреждениям), индивидуальным предпринимателям, физическим лицам</w:t>
      </w:r>
      <w:r>
        <w:rPr>
          <w:sz w:val="25"/>
          <w:szCs w:val="25"/>
        </w:rPr>
        <w:t xml:space="preserve"> в объеме 93 305,0 </w:t>
      </w:r>
      <w:proofErr w:type="spellStart"/>
      <w:r>
        <w:rPr>
          <w:sz w:val="25"/>
          <w:szCs w:val="25"/>
        </w:rPr>
        <w:t>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уб</w:t>
      </w:r>
      <w:proofErr w:type="spellEnd"/>
      <w:r>
        <w:rPr>
          <w:sz w:val="25"/>
          <w:szCs w:val="25"/>
        </w:rPr>
        <w:t xml:space="preserve">., 110 605,0 </w:t>
      </w:r>
      <w:proofErr w:type="spellStart"/>
      <w:r>
        <w:rPr>
          <w:sz w:val="25"/>
          <w:szCs w:val="25"/>
        </w:rPr>
        <w:t>тыс.руб</w:t>
      </w:r>
      <w:proofErr w:type="spellEnd"/>
      <w:r>
        <w:rPr>
          <w:sz w:val="25"/>
          <w:szCs w:val="25"/>
        </w:rPr>
        <w:t xml:space="preserve">. и 110 605,0 </w:t>
      </w:r>
      <w:proofErr w:type="spellStart"/>
      <w:r>
        <w:rPr>
          <w:sz w:val="25"/>
          <w:szCs w:val="25"/>
        </w:rPr>
        <w:t>тыс.руб</w:t>
      </w:r>
      <w:proofErr w:type="spellEnd"/>
      <w:r>
        <w:rPr>
          <w:sz w:val="25"/>
          <w:szCs w:val="25"/>
        </w:rPr>
        <w:t xml:space="preserve">. соответственно. Информация в разрезе направлений приведена ниже в таблице. </w:t>
      </w:r>
    </w:p>
    <w:p w:rsidR="00BC1F32" w:rsidRPr="00D82AAE" w:rsidRDefault="00BC1F32" w:rsidP="00BC1F32">
      <w:pPr>
        <w:shd w:val="clear" w:color="auto" w:fill="FFFFFF" w:themeFill="background1"/>
        <w:ind w:firstLine="567"/>
        <w:jc w:val="right"/>
        <w:rPr>
          <w:sz w:val="20"/>
          <w:szCs w:val="20"/>
        </w:rPr>
      </w:pPr>
      <w:r w:rsidRPr="00D82AAE">
        <w:rPr>
          <w:sz w:val="20"/>
          <w:szCs w:val="20"/>
        </w:rPr>
        <w:t>(</w:t>
      </w:r>
      <w:proofErr w:type="spellStart"/>
      <w:r w:rsidRPr="00D82AAE">
        <w:rPr>
          <w:sz w:val="20"/>
          <w:szCs w:val="20"/>
        </w:rPr>
        <w:t>тыс</w:t>
      </w:r>
      <w:proofErr w:type="gramStart"/>
      <w:r w:rsidRPr="00D82AAE">
        <w:rPr>
          <w:sz w:val="20"/>
          <w:szCs w:val="20"/>
        </w:rPr>
        <w:t>.р</w:t>
      </w:r>
      <w:proofErr w:type="gramEnd"/>
      <w:r w:rsidRPr="00D82AAE">
        <w:rPr>
          <w:sz w:val="20"/>
          <w:szCs w:val="20"/>
        </w:rPr>
        <w:t>уб</w:t>
      </w:r>
      <w:proofErr w:type="spellEnd"/>
      <w:r w:rsidRPr="00D82AAE">
        <w:rPr>
          <w:sz w:val="20"/>
          <w:szCs w:val="20"/>
        </w:rPr>
        <w:t>.)</w:t>
      </w:r>
    </w:p>
    <w:tbl>
      <w:tblPr>
        <w:tblW w:w="9787" w:type="dxa"/>
        <w:tblInd w:w="103" w:type="dxa"/>
        <w:tblLook w:val="04A0" w:firstRow="1" w:lastRow="0" w:firstColumn="1" w:lastColumn="0" w:noHBand="0" w:noVBand="1"/>
      </w:tblPr>
      <w:tblGrid>
        <w:gridCol w:w="473"/>
        <w:gridCol w:w="6053"/>
        <w:gridCol w:w="992"/>
        <w:gridCol w:w="1135"/>
        <w:gridCol w:w="1134"/>
      </w:tblGrid>
      <w:tr w:rsidR="00BC1F32" w:rsidRPr="00D82AAE" w:rsidTr="00BC1F32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>
              <w:rPr>
                <w:color w:val="000000"/>
                <w:sz w:val="19"/>
                <w:szCs w:val="19"/>
              </w:rPr>
              <w:t>п</w:t>
            </w:r>
            <w:proofErr w:type="gramEnd"/>
            <w:r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9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проект бюджета</w:t>
            </w:r>
          </w:p>
        </w:tc>
      </w:tr>
      <w:tr w:rsidR="00BC1F32" w:rsidRPr="00D82AAE" w:rsidTr="00BC1F32">
        <w:trPr>
          <w:trHeight w:val="30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наименование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2020 год</w:t>
            </w:r>
          </w:p>
        </w:tc>
      </w:tr>
      <w:tr w:rsidR="00BC1F32" w:rsidRPr="00D82AAE" w:rsidTr="00BC1F32">
        <w:trPr>
          <w:trHeight w:val="4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      </w:r>
            <w:proofErr w:type="spellStart"/>
            <w:r w:rsidRPr="00D82AAE">
              <w:rPr>
                <w:color w:val="000000"/>
                <w:sz w:val="19"/>
                <w:szCs w:val="19"/>
              </w:rPr>
              <w:t>Кего</w:t>
            </w:r>
            <w:proofErr w:type="spellEnd"/>
            <w:r w:rsidRPr="00D82AAE">
              <w:rPr>
                <w:color w:val="000000"/>
                <w:sz w:val="19"/>
                <w:szCs w:val="19"/>
              </w:rPr>
              <w:t xml:space="preserve"> и </w:t>
            </w:r>
            <w:proofErr w:type="spellStart"/>
            <w:r w:rsidRPr="00D82AAE">
              <w:rPr>
                <w:color w:val="000000"/>
                <w:sz w:val="19"/>
                <w:szCs w:val="19"/>
              </w:rPr>
              <w:t>Бревенник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1 200,0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1 200,0</w:t>
            </w:r>
          </w:p>
        </w:tc>
      </w:tr>
      <w:tr w:rsidR="00BC1F32" w:rsidRPr="00D82AAE" w:rsidTr="00BC1F32">
        <w:trPr>
          <w:trHeight w:val="81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proofErr w:type="spellStart"/>
            <w:r w:rsidRPr="00D82AAE">
              <w:rPr>
                <w:color w:val="000000"/>
                <w:sz w:val="19"/>
                <w:szCs w:val="19"/>
              </w:rPr>
              <w:t>Архкомхоз</w:t>
            </w:r>
            <w:proofErr w:type="spellEnd"/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мостов и путепроводов, а также затрат по обеспечению их транспортной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47 198,1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46 358,9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46 358,9</w:t>
            </w:r>
          </w:p>
        </w:tc>
      </w:tr>
      <w:tr w:rsidR="00BC1F32" w:rsidRPr="00D82AAE" w:rsidTr="00BC1F32">
        <w:trPr>
          <w:trHeight w:val="100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proofErr w:type="spellStart"/>
            <w:r w:rsidRPr="00D82AAE">
              <w:rPr>
                <w:color w:val="000000"/>
                <w:sz w:val="19"/>
                <w:szCs w:val="19"/>
              </w:rPr>
              <w:t>Архкомхоз</w:t>
            </w:r>
            <w:proofErr w:type="spellEnd"/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сетей дренажно-ливневой канализации и дренажных насосных станций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41 995,6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41 995,6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41 995,6</w:t>
            </w:r>
          </w:p>
        </w:tc>
      </w:tr>
      <w:tr w:rsidR="00BC1F32" w:rsidRPr="00D82AAE" w:rsidTr="00BC1F32">
        <w:trPr>
          <w:trHeight w:val="60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затрат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proofErr w:type="spellStart"/>
            <w:r w:rsidRPr="00D82AAE">
              <w:rPr>
                <w:color w:val="000000"/>
                <w:sz w:val="19"/>
                <w:szCs w:val="19"/>
              </w:rPr>
              <w:t>Горсвет</w:t>
            </w:r>
            <w:proofErr w:type="spellEnd"/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выполнением работ по содержанию и ремонту светофорных объектов, дорожных знаков и указателей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12 601,7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12 601,7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12 601,7</w:t>
            </w:r>
          </w:p>
        </w:tc>
      </w:tr>
      <w:tr w:rsidR="00BC1F32" w:rsidRPr="00D82AAE" w:rsidTr="00BC1F32">
        <w:trPr>
          <w:trHeight w:val="86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управляющим организациям и товариществам собственников жилья </w:t>
            </w:r>
            <w:proofErr w:type="gramStart"/>
            <w:r w:rsidRPr="00D82AAE">
              <w:rPr>
                <w:color w:val="000000"/>
                <w:sz w:val="19"/>
                <w:szCs w:val="19"/>
              </w:rPr>
              <w:t>на проведение работ по капитальному ремонту многоквартирных домов в целях исполнения судебных актов по искам к муниципальному образованию</w:t>
            </w:r>
            <w:proofErr w:type="gramEnd"/>
            <w:r w:rsidRPr="00D82AAE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38 392,8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38 392,8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83 202,0</w:t>
            </w:r>
          </w:p>
        </w:tc>
      </w:tr>
      <w:tr w:rsidR="00BC1F32" w:rsidRPr="00D82AAE" w:rsidTr="00BC1F32">
        <w:trPr>
          <w:trHeight w:val="6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убытков муниципального унитарного предприятия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Городские бани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 xml:space="preserve">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  <w:r w:rsidRPr="00D82AAE">
              <w:rPr>
                <w:color w:val="000000"/>
                <w:sz w:val="19"/>
                <w:szCs w:val="19"/>
              </w:rPr>
              <w:t>, связанных с оказанием банных услуг по тарифам, не обеспечивающим возмещение издержек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22 746,0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18 300,0</w:t>
            </w:r>
          </w:p>
        </w:tc>
      </w:tr>
      <w:tr w:rsidR="00BC1F32" w:rsidRPr="00D82AAE" w:rsidTr="00BC1F32">
        <w:trPr>
          <w:trHeight w:val="22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возмещение затрат организаций, связанных с оказанием ими услуг по уличному освещению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91 000,0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91 000,0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91 000,0</w:t>
            </w:r>
          </w:p>
        </w:tc>
      </w:tr>
      <w:tr w:rsidR="00BC1F32" w:rsidRPr="00D82AAE" w:rsidTr="00BC1F32">
        <w:trPr>
          <w:trHeight w:val="3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 xml:space="preserve">возмещение части затрат, связанных с доставкой товаров, реализуемых населению, на островные территории муниципального образования </w:t>
            </w:r>
            <w:r>
              <w:rPr>
                <w:color w:val="000000"/>
                <w:sz w:val="19"/>
                <w:szCs w:val="19"/>
              </w:rPr>
              <w:t>«</w:t>
            </w:r>
            <w:r w:rsidRPr="00D82AAE">
              <w:rPr>
                <w:color w:val="000000"/>
                <w:sz w:val="19"/>
                <w:szCs w:val="19"/>
              </w:rPr>
              <w:t>Город Архангельск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D82AAE">
              <w:rPr>
                <w:color w:val="000000"/>
                <w:sz w:val="19"/>
                <w:szCs w:val="19"/>
              </w:rPr>
              <w:t>105,0</w:t>
            </w:r>
          </w:p>
        </w:tc>
      </w:tr>
      <w:tr w:rsidR="00BC1F32" w:rsidRPr="00D82AAE" w:rsidTr="00BC1F32">
        <w:trPr>
          <w:trHeight w:val="2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D82AAE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D82AAE" w:rsidRDefault="00BC1F32" w:rsidP="0005366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82AAE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D82AAE">
              <w:rPr>
                <w:b/>
                <w:bCs/>
                <w:color w:val="000000"/>
                <w:sz w:val="19"/>
                <w:szCs w:val="19"/>
              </w:rPr>
              <w:t>92 305,0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D82AAE">
              <w:rPr>
                <w:b/>
                <w:bCs/>
                <w:color w:val="000000"/>
                <w:sz w:val="19"/>
                <w:szCs w:val="19"/>
              </w:rPr>
              <w:t>110 605,0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D82AAE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D82AAE">
              <w:rPr>
                <w:b/>
                <w:bCs/>
                <w:color w:val="000000"/>
                <w:sz w:val="19"/>
                <w:szCs w:val="19"/>
              </w:rPr>
              <w:t>110 605,0</w:t>
            </w:r>
          </w:p>
        </w:tc>
      </w:tr>
    </w:tbl>
    <w:p w:rsidR="00BC1F32" w:rsidRDefault="00BC1F32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</w:p>
    <w:p w:rsidR="00BC1F32" w:rsidRDefault="00BC1F32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  <w:r w:rsidRPr="00BC4AE5">
        <w:rPr>
          <w:sz w:val="25"/>
          <w:szCs w:val="25"/>
        </w:rPr>
        <w:t>2) по части 2 статьи 5 проекта  решения - иным некоммерческим организациям, не являющимся муниципальными учреждениями, в рамках реализации двух муниципальных программ «Развитие социальной сферы муниципального образования «Город Архангельск» и «Совершенствование муниципального управления муниципального образования «Город Архангельск»</w:t>
      </w:r>
      <w:r>
        <w:rPr>
          <w:sz w:val="25"/>
          <w:szCs w:val="25"/>
        </w:rPr>
        <w:t xml:space="preserve"> на 2018-2020 годы в объеме </w:t>
      </w:r>
      <w:r w:rsidRPr="00BC1F32">
        <w:rPr>
          <w:sz w:val="25"/>
          <w:szCs w:val="25"/>
        </w:rPr>
        <w:t>28 290,3</w:t>
      </w:r>
      <w:r w:rsidRPr="00BC1F32"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уб</w:t>
      </w:r>
      <w:proofErr w:type="spellEnd"/>
      <w:r>
        <w:rPr>
          <w:sz w:val="25"/>
          <w:szCs w:val="25"/>
        </w:rPr>
        <w:t xml:space="preserve">., </w:t>
      </w:r>
      <w:r w:rsidRPr="00BC1F32">
        <w:rPr>
          <w:sz w:val="25"/>
          <w:szCs w:val="25"/>
        </w:rPr>
        <w:t>28 103,2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тыс.руб</w:t>
      </w:r>
      <w:proofErr w:type="spellEnd"/>
      <w:r>
        <w:rPr>
          <w:sz w:val="25"/>
          <w:szCs w:val="25"/>
        </w:rPr>
        <w:t xml:space="preserve">. и </w:t>
      </w:r>
      <w:r w:rsidRPr="00BC1F32">
        <w:rPr>
          <w:sz w:val="25"/>
          <w:szCs w:val="25"/>
        </w:rPr>
        <w:t>33 203,2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тыс.руб</w:t>
      </w:r>
      <w:proofErr w:type="spellEnd"/>
      <w:r>
        <w:rPr>
          <w:sz w:val="25"/>
          <w:szCs w:val="25"/>
        </w:rPr>
        <w:t>. соответственно</w:t>
      </w:r>
      <w:r w:rsidRPr="00BC4AE5">
        <w:rPr>
          <w:sz w:val="25"/>
          <w:szCs w:val="25"/>
        </w:rPr>
        <w:t xml:space="preserve">. Аналогично в рамках данных </w:t>
      </w:r>
      <w:r w:rsidR="00793394">
        <w:rPr>
          <w:sz w:val="25"/>
          <w:szCs w:val="25"/>
        </w:rPr>
        <w:t xml:space="preserve">муниципальных </w:t>
      </w:r>
      <w:r w:rsidRPr="00BC4AE5">
        <w:rPr>
          <w:sz w:val="25"/>
          <w:szCs w:val="25"/>
        </w:rPr>
        <w:lastRenderedPageBreak/>
        <w:t>программ было предусмотрено предоставление субсидий в решении Архангельской городской Думы от 14.12.2016 №460 «О городском бюджете на 2017 год и на плановый период 2018 и 2019 годов» (ред. от 25.10.2017).</w:t>
      </w:r>
      <w:r>
        <w:rPr>
          <w:sz w:val="25"/>
          <w:szCs w:val="25"/>
        </w:rPr>
        <w:t xml:space="preserve"> Информация приведена ниже в таблице. </w:t>
      </w:r>
    </w:p>
    <w:p w:rsidR="00BC1F32" w:rsidRPr="00D82AAE" w:rsidRDefault="00BC1F32" w:rsidP="00BC1F32">
      <w:pPr>
        <w:shd w:val="clear" w:color="auto" w:fill="FFFFFF" w:themeFill="background1"/>
        <w:ind w:firstLine="567"/>
        <w:jc w:val="right"/>
        <w:rPr>
          <w:sz w:val="20"/>
          <w:szCs w:val="20"/>
        </w:rPr>
      </w:pPr>
      <w:r w:rsidRPr="00D82AAE">
        <w:rPr>
          <w:sz w:val="20"/>
          <w:szCs w:val="20"/>
        </w:rPr>
        <w:t>(</w:t>
      </w:r>
      <w:proofErr w:type="spellStart"/>
      <w:r w:rsidRPr="00D82AAE">
        <w:rPr>
          <w:sz w:val="20"/>
          <w:szCs w:val="20"/>
        </w:rPr>
        <w:t>тыс</w:t>
      </w:r>
      <w:proofErr w:type="gramStart"/>
      <w:r w:rsidRPr="00D82AAE">
        <w:rPr>
          <w:sz w:val="20"/>
          <w:szCs w:val="20"/>
        </w:rPr>
        <w:t>.р</w:t>
      </w:r>
      <w:proofErr w:type="gramEnd"/>
      <w:r w:rsidRPr="00D82AAE">
        <w:rPr>
          <w:sz w:val="20"/>
          <w:szCs w:val="20"/>
        </w:rPr>
        <w:t>уб</w:t>
      </w:r>
      <w:proofErr w:type="spellEnd"/>
      <w:r w:rsidRPr="00D82AAE">
        <w:rPr>
          <w:sz w:val="20"/>
          <w:szCs w:val="20"/>
        </w:rPr>
        <w:t>.)</w:t>
      </w:r>
    </w:p>
    <w:tbl>
      <w:tblPr>
        <w:tblW w:w="9785" w:type="dxa"/>
        <w:tblInd w:w="103" w:type="dxa"/>
        <w:tblLook w:val="04A0" w:firstRow="1" w:lastRow="0" w:firstColumn="1" w:lastColumn="0" w:noHBand="0" w:noVBand="1"/>
      </w:tblPr>
      <w:tblGrid>
        <w:gridCol w:w="473"/>
        <w:gridCol w:w="6336"/>
        <w:gridCol w:w="991"/>
        <w:gridCol w:w="992"/>
        <w:gridCol w:w="993"/>
      </w:tblGrid>
      <w:tr w:rsidR="00BC1F32" w:rsidRPr="00CE43D7" w:rsidTr="005535BC">
        <w:trPr>
          <w:trHeight w:val="300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CE43D7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CE43D7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проект бюджета</w:t>
            </w:r>
          </w:p>
        </w:tc>
      </w:tr>
      <w:tr w:rsidR="00BC1F32" w:rsidRPr="00CE43D7" w:rsidTr="005535BC">
        <w:trPr>
          <w:trHeight w:val="300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наименование субсидии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color w:val="000000"/>
                <w:sz w:val="19"/>
                <w:szCs w:val="19"/>
              </w:rPr>
            </w:pPr>
            <w:r w:rsidRPr="00CE43D7">
              <w:rPr>
                <w:color w:val="000000"/>
                <w:sz w:val="19"/>
                <w:szCs w:val="19"/>
              </w:rPr>
              <w:t>2020 год</w:t>
            </w:r>
          </w:p>
        </w:tc>
      </w:tr>
      <w:tr w:rsidR="00BC1F32" w:rsidRPr="00CE43D7" w:rsidTr="005535BC">
        <w:trPr>
          <w:trHeight w:val="77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5535B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МП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Развитие социальной сферы муниципального образования</w:t>
            </w:r>
            <w:r w:rsidR="005535BC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</w:p>
        </w:tc>
      </w:tr>
      <w:tr w:rsidR="00BC1F32" w:rsidRPr="00CE43D7" w:rsidTr="005535BC">
        <w:trPr>
          <w:trHeight w:val="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Развитие образования на территории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25 574,0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25 574,1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30 674,1</w:t>
            </w:r>
          </w:p>
        </w:tc>
      </w:tr>
      <w:tr w:rsidR="00BC1F32" w:rsidRPr="00CE43D7" w:rsidTr="005535BC">
        <w:trPr>
          <w:trHeight w:val="5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предоставление субсидий иным некоммерческим организациям на компенсацию родительской платы за присмотр и уход за детьми в них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588,5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588,5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588,5</w:t>
            </w:r>
          </w:p>
        </w:tc>
      </w:tr>
      <w:tr w:rsidR="00BC1F32" w:rsidRPr="00CE43D7" w:rsidTr="005535BC">
        <w:trPr>
          <w:trHeight w:val="29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proofErr w:type="gramStart"/>
            <w:r w:rsidRPr="00CE43D7">
              <w:rPr>
                <w:i/>
                <w:iCs/>
                <w:color w:val="000000"/>
                <w:sz w:val="19"/>
                <w:szCs w:val="19"/>
              </w:rPr>
              <w:t>на предоставление субсидий иным некоммерческим организациям на оказание услуг за счет субвенции из областного бюджета по реализации</w:t>
            </w:r>
            <w:proofErr w:type="gramEnd"/>
            <w:r w:rsidRPr="00CE43D7">
              <w:rPr>
                <w:i/>
                <w:iCs/>
                <w:color w:val="000000"/>
                <w:sz w:val="19"/>
                <w:szCs w:val="19"/>
              </w:rPr>
              <w:t xml:space="preserve"> образовательных программ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24 985,5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24 985,6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30 085,6</w:t>
            </w:r>
          </w:p>
        </w:tc>
      </w:tr>
      <w:tr w:rsidR="00BC1F32" w:rsidRPr="00CE43D7" w:rsidTr="005535BC">
        <w:trPr>
          <w:trHeight w:val="194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1.2</w:t>
            </w: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Культура и молодежная политика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299,7</w:t>
            </w:r>
          </w:p>
        </w:tc>
      </w:tr>
      <w:tr w:rsidR="00BC1F32" w:rsidRPr="00CE43D7" w:rsidTr="005535BC">
        <w:trPr>
          <w:trHeight w:val="15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предоставление субсидий иным некоммерческим организациям на реализацию проектов в области молодежной политики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299,7</w:t>
            </w:r>
          </w:p>
        </w:tc>
      </w:tr>
      <w:tr w:rsidR="00BC1F32" w:rsidRPr="00CE43D7" w:rsidTr="005535B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1.3</w:t>
            </w: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Социальная политика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111,0</w:t>
            </w:r>
          </w:p>
        </w:tc>
      </w:tr>
      <w:tr w:rsidR="00BC1F32" w:rsidRPr="00CE43D7" w:rsidTr="005535BC">
        <w:trPr>
          <w:trHeight w:val="5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proofErr w:type="gramStart"/>
            <w:r w:rsidRPr="00CE43D7">
              <w:rPr>
                <w:i/>
                <w:iCs/>
                <w:color w:val="000000"/>
                <w:sz w:val="19"/>
                <w:szCs w:val="19"/>
              </w:rPr>
              <w:t>на оплату стоимости набора продуктов питания в оздоровительных лагерях с дневным пребыванием детей иным некоммерческим организациям за счет субвенции из областного бюджета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111,0</w:t>
            </w:r>
          </w:p>
        </w:tc>
      </w:tr>
      <w:tr w:rsidR="00BC1F32" w:rsidRPr="00CE43D7" w:rsidTr="005535BC">
        <w:trPr>
          <w:trHeight w:val="4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МП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Совершенствование муниципального управления муниципального образования</w:t>
            </w:r>
          </w:p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</w:p>
        </w:tc>
      </w:tr>
      <w:tr w:rsidR="00BC1F32" w:rsidRPr="00CE43D7" w:rsidTr="005535BC">
        <w:trPr>
          <w:trHeight w:val="429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E43D7">
              <w:rPr>
                <w:bCs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ВЦП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 xml:space="preserve">Развитие и поддержка территориального общественного самоуправления на территории муниципального образования </w:t>
            </w:r>
            <w:r>
              <w:rPr>
                <w:b/>
                <w:bCs/>
                <w:color w:val="000000"/>
                <w:sz w:val="19"/>
                <w:szCs w:val="19"/>
              </w:rPr>
              <w:t>«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Город Архангельск</w:t>
            </w:r>
            <w:r>
              <w:rPr>
                <w:b/>
                <w:bCs/>
                <w:color w:val="000000"/>
                <w:sz w:val="19"/>
                <w:szCs w:val="19"/>
              </w:rPr>
              <w:t>»</w:t>
            </w:r>
            <w:r w:rsidRPr="00CE43D7">
              <w:rPr>
                <w:b/>
                <w:bCs/>
                <w:color w:val="000000"/>
                <w:sz w:val="19"/>
                <w:szCs w:val="19"/>
              </w:rPr>
              <w:t>, всего: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2 305,6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2 118,4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2 118,4</w:t>
            </w:r>
          </w:p>
        </w:tc>
      </w:tr>
      <w:tr w:rsidR="00BC1F32" w:rsidRPr="00CE43D7" w:rsidTr="005535BC">
        <w:trPr>
          <w:trHeight w:val="3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реализацию социально значимых проектов территориального общественного самоуправления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2 165,6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1 978,4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1 978,4</w:t>
            </w:r>
          </w:p>
        </w:tc>
      </w:tr>
      <w:tr w:rsidR="00BC1F32" w:rsidRPr="00CE43D7" w:rsidTr="005535BC">
        <w:trPr>
          <w:trHeight w:val="7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на оказание финансовой поддержки территориальным общественным самоуправлениям в целях возмещения затрат, связанных с обеспечением их деятельности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CE43D7">
              <w:rPr>
                <w:i/>
                <w:iCs/>
                <w:color w:val="000000"/>
                <w:sz w:val="19"/>
                <w:szCs w:val="19"/>
              </w:rPr>
              <w:t>140,0</w:t>
            </w:r>
          </w:p>
        </w:tc>
      </w:tr>
      <w:tr w:rsidR="00BC1F32" w:rsidRPr="00CE43D7" w:rsidTr="005535BC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28 290,3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28 103,2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F32" w:rsidRPr="00CE43D7" w:rsidRDefault="00BC1F32" w:rsidP="0005366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CE43D7">
              <w:rPr>
                <w:b/>
                <w:bCs/>
                <w:color w:val="000000"/>
                <w:sz w:val="19"/>
                <w:szCs w:val="19"/>
              </w:rPr>
              <w:t>33 203,2</w:t>
            </w:r>
          </w:p>
        </w:tc>
      </w:tr>
    </w:tbl>
    <w:p w:rsidR="00C1373F" w:rsidRPr="00362D99" w:rsidRDefault="00C1373F" w:rsidP="00BC1F32">
      <w:pPr>
        <w:shd w:val="clear" w:color="auto" w:fill="FFFFFF" w:themeFill="background1"/>
        <w:ind w:firstLine="567"/>
        <w:jc w:val="both"/>
        <w:rPr>
          <w:sz w:val="25"/>
          <w:szCs w:val="25"/>
        </w:rPr>
      </w:pPr>
    </w:p>
    <w:p w:rsidR="008073D9" w:rsidRPr="00602FFA" w:rsidRDefault="00201503" w:rsidP="008073D9">
      <w:pPr>
        <w:ind w:firstLine="567"/>
        <w:jc w:val="both"/>
        <w:rPr>
          <w:sz w:val="25"/>
          <w:szCs w:val="25"/>
        </w:rPr>
      </w:pPr>
      <w:r w:rsidRPr="00F77018">
        <w:rPr>
          <w:b/>
          <w:sz w:val="25"/>
          <w:szCs w:val="25"/>
        </w:rPr>
        <w:t>4.</w:t>
      </w:r>
      <w:r w:rsidR="00F10A0C" w:rsidRPr="00F77018">
        <w:rPr>
          <w:b/>
          <w:sz w:val="25"/>
          <w:szCs w:val="25"/>
        </w:rPr>
        <w:t>3</w:t>
      </w:r>
      <w:r w:rsidRPr="00F77018">
        <w:rPr>
          <w:b/>
          <w:sz w:val="25"/>
          <w:szCs w:val="25"/>
        </w:rPr>
        <w:t>.</w:t>
      </w:r>
      <w:r w:rsidRPr="00F77018">
        <w:rPr>
          <w:sz w:val="25"/>
          <w:szCs w:val="25"/>
        </w:rPr>
        <w:t xml:space="preserve"> </w:t>
      </w:r>
      <w:r w:rsidR="008073D9" w:rsidRPr="00602FFA">
        <w:rPr>
          <w:sz w:val="25"/>
          <w:szCs w:val="25"/>
        </w:rPr>
        <w:t xml:space="preserve">По проекту решения общий объем бюджетных ассигнований на </w:t>
      </w:r>
      <w:r w:rsidR="008073D9" w:rsidRPr="00602FFA">
        <w:rPr>
          <w:b/>
          <w:i/>
          <w:sz w:val="25"/>
          <w:szCs w:val="25"/>
        </w:rPr>
        <w:t>исполнение публичных нормативных обязательств</w:t>
      </w:r>
      <w:r w:rsidR="008073D9" w:rsidRPr="00602FFA">
        <w:rPr>
          <w:sz w:val="25"/>
          <w:szCs w:val="25"/>
        </w:rPr>
        <w:t xml:space="preserve"> муниципального образования «Город Архангельск» установлен на 2018 год в сумме 366 944,6 тыс.руб., на 2019 год – 339 461,9 тыс.руб., на 2020 год – 348 214,1 тыс.руб.</w:t>
      </w:r>
    </w:p>
    <w:p w:rsidR="008073D9" w:rsidRPr="00602FFA" w:rsidRDefault="008073D9" w:rsidP="008073D9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602FFA">
        <w:rPr>
          <w:rFonts w:ascii="Times New Roman" w:hAnsi="Times New Roman"/>
          <w:sz w:val="25"/>
          <w:szCs w:val="25"/>
        </w:rPr>
        <w:t xml:space="preserve">Проектом решения объем бюджетных ассигнований на исполнение публичных нормативных обязательств на 2018 год по сравнению с плановым показателем 2017 года планируется в размере меньшем на 7 874,6 тыс.руб. или 2,1%. Показатель ожидаемого исполнения расходов за 2017 год в пояснительной записке к проекту решения не приводится. </w:t>
      </w:r>
    </w:p>
    <w:p w:rsidR="008073D9" w:rsidRPr="00602FFA" w:rsidRDefault="008073D9" w:rsidP="008073D9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602FFA">
        <w:rPr>
          <w:rFonts w:ascii="Times New Roman" w:hAnsi="Times New Roman"/>
          <w:sz w:val="25"/>
          <w:szCs w:val="25"/>
        </w:rPr>
        <w:t xml:space="preserve">В структуре общих расходов городского бюджета указанные расходные обязательства в 2018 году и плановом периоде 2019 и 2020 годов составят – 4,4%, 4,1% и 4,1% соответственно (по решению о городском бюджете в 2017 году – 4,7%). </w:t>
      </w:r>
    </w:p>
    <w:p w:rsidR="008073D9" w:rsidRPr="00602FFA" w:rsidRDefault="008073D9" w:rsidP="008073D9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602FFA">
        <w:rPr>
          <w:rFonts w:ascii="Times New Roman" w:hAnsi="Times New Roman"/>
          <w:sz w:val="25"/>
          <w:szCs w:val="25"/>
        </w:rPr>
        <w:t>В перечень публичных нормативных обязательств на 2018 – 2020 годы включено 14 видов публичных нормативных обязательств (в 2017 году было включено – 19).</w:t>
      </w:r>
    </w:p>
    <w:p w:rsidR="008073D9" w:rsidRPr="00602FFA" w:rsidRDefault="008073D9" w:rsidP="008073D9">
      <w:pPr>
        <w:ind w:firstLine="567"/>
        <w:jc w:val="both"/>
        <w:rPr>
          <w:sz w:val="25"/>
          <w:szCs w:val="25"/>
        </w:rPr>
      </w:pPr>
      <w:r w:rsidRPr="00602FFA">
        <w:rPr>
          <w:sz w:val="25"/>
          <w:szCs w:val="25"/>
        </w:rPr>
        <w:t xml:space="preserve">Основную долю в бюджетных ассигнованиях на исполнение публичных нормативных </w:t>
      </w:r>
      <w:proofErr w:type="gramStart"/>
      <w:r w:rsidRPr="00602FFA">
        <w:rPr>
          <w:sz w:val="25"/>
          <w:szCs w:val="25"/>
        </w:rPr>
        <w:t>обязательств</w:t>
      </w:r>
      <w:proofErr w:type="gramEnd"/>
      <w:r w:rsidRPr="00602FFA">
        <w:rPr>
          <w:sz w:val="25"/>
          <w:szCs w:val="25"/>
        </w:rPr>
        <w:t xml:space="preserve"> как и в 2017 году по проекту решения составляют публичные нормативные обязательства муниципального образования «Город Архангельск» по предоставлению гражданам субсидий на оплату жилого помещения и коммунальных услуг 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 (на  2018 - 2020 годы - 84,4%, 83,1% и 83,5% соответственно).</w:t>
      </w:r>
    </w:p>
    <w:p w:rsidR="008B6132" w:rsidRDefault="008073D9" w:rsidP="008B6132">
      <w:pPr>
        <w:pStyle w:val="af1"/>
        <w:ind w:firstLine="567"/>
        <w:jc w:val="both"/>
        <w:rPr>
          <w:rFonts w:eastAsiaTheme="minorHAnsi"/>
        </w:rPr>
      </w:pPr>
      <w:r w:rsidRPr="00602FFA">
        <w:rPr>
          <w:rFonts w:ascii="Times New Roman" w:hAnsi="Times New Roman"/>
          <w:sz w:val="25"/>
          <w:szCs w:val="25"/>
        </w:rPr>
        <w:lastRenderedPageBreak/>
        <w:t xml:space="preserve">В ходе экспертизы проекта решения установлено, что в соответствии с проектом решения премия Администрации МО «Город Архангельск» в области физической культуры и спорта по ведомственной целевой программе «Развитие физической культуры и спорта на территории муниципального образования «Город Архангельск» отнесена к публичным нормативным обязательствам. В расходной части проекта решения на 2018 – 2020 годы запланированы бюджетные ассигнования на данную премию в сумме 130,0 тыс.руб. ежегодно. В соответствии с постановлением Администрации МО «Город Архангельск» от 30.12.2016 №1552 «О премиях Администрации муниципального образования «Город Архангельск» в области физической культуры и спорта» на выплату премии учащимся в номинациях «Спортсмен года» и «Спортивная надежда года» закладывается 55,0 тыс.руб. в год. С учетом ч. ст.33, ч.3 ст.23 Федерального закона от 29.12.2012 №273-ФЗ «Об образовании в Российской Федерации» учащиеся муниципальных бюджетных учреждений дополнительного образования муниципального образования «Город </w:t>
      </w:r>
      <w:r w:rsidRPr="008B6132">
        <w:rPr>
          <w:rFonts w:ascii="Times New Roman" w:hAnsi="Times New Roman"/>
          <w:sz w:val="25"/>
          <w:szCs w:val="25"/>
        </w:rPr>
        <w:t xml:space="preserve">Архангельск» относятся к лицам, обучающимся в муниципальных образовательных учреждениях. </w:t>
      </w:r>
      <w:proofErr w:type="gramStart"/>
      <w:r w:rsidR="00EE4D4D" w:rsidRPr="008B6132">
        <w:rPr>
          <w:rFonts w:ascii="Times New Roman" w:hAnsi="Times New Roman"/>
          <w:sz w:val="25"/>
          <w:szCs w:val="25"/>
        </w:rPr>
        <w:t>Однако</w:t>
      </w:r>
      <w:r w:rsidRPr="008B6132">
        <w:rPr>
          <w:rFonts w:ascii="Times New Roman" w:hAnsi="Times New Roman"/>
          <w:sz w:val="25"/>
          <w:szCs w:val="25"/>
        </w:rPr>
        <w:t>, в соответствии со ст. 6 БК РФ</w:t>
      </w:r>
      <w:r w:rsidR="00EE4D4D" w:rsidRPr="008B6132">
        <w:rPr>
          <w:rFonts w:ascii="Times New Roman" w:hAnsi="Times New Roman"/>
          <w:sz w:val="25"/>
          <w:szCs w:val="25"/>
        </w:rPr>
        <w:t xml:space="preserve"> </w:t>
      </w:r>
      <w:r w:rsidR="008B6132" w:rsidRPr="008B6132">
        <w:rPr>
          <w:rFonts w:ascii="Times New Roman" w:hAnsi="Times New Roman"/>
          <w:sz w:val="25"/>
          <w:szCs w:val="25"/>
        </w:rPr>
        <w:t>публичные нормативные обязательства - публичные обязательства перед физическим лицом, подлежащие исполнению в денежной форме в установленном соответствующим законом, иным нормативным правовым актом размере или имеющие установленный порядок его индексации, за исключением выплат физическому лицу, предусмотренных статусом лиц, обучающихся (воспитанников) в государственных (муниципальных) образовательных учреждениях.</w:t>
      </w:r>
      <w:proofErr w:type="gramEnd"/>
    </w:p>
    <w:p w:rsidR="008B6132" w:rsidRPr="008B6132" w:rsidRDefault="008B6132" w:rsidP="008073D9">
      <w:pPr>
        <w:pStyle w:val="af1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4213F5" w:rsidRPr="004213F5" w:rsidRDefault="00AD7DA0" w:rsidP="004213F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5A4E26">
        <w:rPr>
          <w:b/>
          <w:sz w:val="25"/>
          <w:szCs w:val="25"/>
        </w:rPr>
        <w:t>4.</w:t>
      </w:r>
      <w:r w:rsidR="00F10A0C">
        <w:rPr>
          <w:b/>
          <w:sz w:val="25"/>
          <w:szCs w:val="25"/>
        </w:rPr>
        <w:t>4</w:t>
      </w:r>
      <w:r w:rsidRPr="005A4E26">
        <w:rPr>
          <w:b/>
          <w:sz w:val="25"/>
          <w:szCs w:val="25"/>
        </w:rPr>
        <w:t>.</w:t>
      </w:r>
      <w:r w:rsidRPr="005A4E26">
        <w:rPr>
          <w:sz w:val="25"/>
          <w:szCs w:val="25"/>
        </w:rPr>
        <w:t xml:space="preserve"> </w:t>
      </w:r>
      <w:r w:rsidR="006A03A8" w:rsidRPr="004213F5">
        <w:rPr>
          <w:sz w:val="25"/>
          <w:szCs w:val="25"/>
        </w:rPr>
        <w:t xml:space="preserve">В соответствии с проектом решения </w:t>
      </w:r>
      <w:r w:rsidR="004213F5" w:rsidRPr="004213F5">
        <w:rPr>
          <w:sz w:val="25"/>
          <w:szCs w:val="25"/>
        </w:rPr>
        <w:t xml:space="preserve">объем бюджетных ассигнований </w:t>
      </w:r>
      <w:r w:rsidR="004213F5" w:rsidRPr="004213F5">
        <w:rPr>
          <w:b/>
          <w:i/>
          <w:sz w:val="25"/>
          <w:szCs w:val="25"/>
        </w:rPr>
        <w:t xml:space="preserve">муниципального дорожного фонда </w:t>
      </w:r>
      <w:r w:rsidR="004213F5" w:rsidRPr="004213F5">
        <w:rPr>
          <w:sz w:val="25"/>
          <w:szCs w:val="25"/>
        </w:rPr>
        <w:t xml:space="preserve">муниципального образования «Город Архангельск» установлен на 2018 год и на плановый период 2019 и 2020 годов в сумме 626 944,60 тыс. руб., 568 748,0 </w:t>
      </w:r>
      <w:proofErr w:type="spellStart"/>
      <w:r w:rsidR="004213F5" w:rsidRPr="004213F5">
        <w:rPr>
          <w:sz w:val="25"/>
          <w:szCs w:val="25"/>
        </w:rPr>
        <w:t>тыс</w:t>
      </w:r>
      <w:proofErr w:type="gramStart"/>
      <w:r w:rsidR="004213F5" w:rsidRPr="004213F5">
        <w:rPr>
          <w:sz w:val="25"/>
          <w:szCs w:val="25"/>
        </w:rPr>
        <w:t>.р</w:t>
      </w:r>
      <w:proofErr w:type="gramEnd"/>
      <w:r w:rsidR="004213F5" w:rsidRPr="004213F5">
        <w:rPr>
          <w:sz w:val="25"/>
          <w:szCs w:val="25"/>
        </w:rPr>
        <w:t>уб</w:t>
      </w:r>
      <w:proofErr w:type="spellEnd"/>
      <w:r w:rsidR="004213F5" w:rsidRPr="004213F5">
        <w:rPr>
          <w:sz w:val="25"/>
          <w:szCs w:val="25"/>
        </w:rPr>
        <w:t xml:space="preserve">. и 387 541,60 </w:t>
      </w:r>
      <w:proofErr w:type="spellStart"/>
      <w:r w:rsidR="004213F5" w:rsidRPr="004213F5">
        <w:rPr>
          <w:sz w:val="25"/>
          <w:szCs w:val="25"/>
        </w:rPr>
        <w:t>тыс.руб</w:t>
      </w:r>
      <w:proofErr w:type="spellEnd"/>
      <w:r w:rsidR="004213F5" w:rsidRPr="004213F5">
        <w:rPr>
          <w:sz w:val="25"/>
          <w:szCs w:val="25"/>
        </w:rPr>
        <w:t xml:space="preserve">. соответственно. </w:t>
      </w:r>
    </w:p>
    <w:p w:rsidR="004213F5" w:rsidRPr="004213F5" w:rsidRDefault="004213F5" w:rsidP="004213F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4213F5">
        <w:rPr>
          <w:sz w:val="25"/>
          <w:szCs w:val="25"/>
        </w:rPr>
        <w:t xml:space="preserve">Объем бюджетных ассигнований на 2018  год и плановый период 2019 и 2020 годы запланированы с ежегодным снижением. В 2019 и 2020 годах по сравнению с 2018 годом снижение составляет 58 196,6 </w:t>
      </w:r>
      <w:proofErr w:type="spellStart"/>
      <w:r w:rsidRPr="004213F5">
        <w:rPr>
          <w:sz w:val="25"/>
          <w:szCs w:val="25"/>
        </w:rPr>
        <w:t>тыс</w:t>
      </w:r>
      <w:proofErr w:type="gramStart"/>
      <w:r w:rsidRPr="004213F5">
        <w:rPr>
          <w:sz w:val="25"/>
          <w:szCs w:val="25"/>
        </w:rPr>
        <w:t>.р</w:t>
      </w:r>
      <w:proofErr w:type="gramEnd"/>
      <w:r w:rsidRPr="004213F5">
        <w:rPr>
          <w:sz w:val="25"/>
          <w:szCs w:val="25"/>
        </w:rPr>
        <w:t>уб</w:t>
      </w:r>
      <w:proofErr w:type="spellEnd"/>
      <w:r w:rsidRPr="004213F5">
        <w:rPr>
          <w:sz w:val="25"/>
          <w:szCs w:val="25"/>
        </w:rPr>
        <w:t xml:space="preserve">. и 239 403,0 </w:t>
      </w:r>
      <w:proofErr w:type="spellStart"/>
      <w:r w:rsidRPr="004213F5">
        <w:rPr>
          <w:sz w:val="25"/>
          <w:szCs w:val="25"/>
        </w:rPr>
        <w:t>тыс.руб</w:t>
      </w:r>
      <w:proofErr w:type="spellEnd"/>
      <w:r w:rsidRPr="004213F5">
        <w:rPr>
          <w:sz w:val="25"/>
          <w:szCs w:val="25"/>
        </w:rPr>
        <w:t xml:space="preserve">. соответственно. При этом на 2018 год объем бюджетных  ассигнований  муниципального дорожного фонда увеличен на 6 045,4 </w:t>
      </w:r>
      <w:proofErr w:type="spellStart"/>
      <w:r w:rsidRPr="004213F5">
        <w:rPr>
          <w:sz w:val="25"/>
          <w:szCs w:val="25"/>
        </w:rPr>
        <w:t>тыс</w:t>
      </w:r>
      <w:proofErr w:type="gramStart"/>
      <w:r w:rsidRPr="004213F5">
        <w:rPr>
          <w:sz w:val="25"/>
          <w:szCs w:val="25"/>
        </w:rPr>
        <w:t>.р</w:t>
      </w:r>
      <w:proofErr w:type="gramEnd"/>
      <w:r w:rsidRPr="004213F5">
        <w:rPr>
          <w:sz w:val="25"/>
          <w:szCs w:val="25"/>
        </w:rPr>
        <w:t>уб</w:t>
      </w:r>
      <w:proofErr w:type="spellEnd"/>
      <w:r w:rsidRPr="004213F5">
        <w:rPr>
          <w:sz w:val="25"/>
          <w:szCs w:val="25"/>
        </w:rPr>
        <w:t>. по сравнению с объемом бюджетных ассигнований, предусмотренных решением Архангельской городской Думы от 14.12.2016 № 460 (ред. 25.10.2017) «О городском бюджете на 2017 год и плановый период 2018 и 2019 годов».</w:t>
      </w:r>
    </w:p>
    <w:p w:rsidR="004213F5" w:rsidRPr="00EE4D4D" w:rsidRDefault="004213F5" w:rsidP="004213F5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5"/>
          <w:szCs w:val="25"/>
        </w:rPr>
      </w:pPr>
      <w:r w:rsidRPr="004213F5">
        <w:rPr>
          <w:rFonts w:eastAsia="TimesNewRomanPSMT"/>
          <w:sz w:val="25"/>
          <w:szCs w:val="25"/>
        </w:rPr>
        <w:t xml:space="preserve">Расходы за счет средств дорожного фонда предлагается осуществить через </w:t>
      </w:r>
      <w:r w:rsidRPr="00EE4D4D">
        <w:rPr>
          <w:rFonts w:eastAsia="TimesNewRomanPSMT"/>
          <w:sz w:val="25"/>
          <w:szCs w:val="25"/>
        </w:rPr>
        <w:t xml:space="preserve">департамент транспорта, строительства и городской инфраструктуры Администрации МО «Город Архангельск» по подразделу </w:t>
      </w:r>
      <w:r w:rsidRPr="00EE4D4D">
        <w:rPr>
          <w:rFonts w:eastAsia="TimesNewRomanPSMT"/>
          <w:i/>
          <w:iCs/>
          <w:sz w:val="25"/>
          <w:szCs w:val="25"/>
        </w:rPr>
        <w:t xml:space="preserve">0409 «Дорожное хозяйство (дорожные фонды)» </w:t>
      </w:r>
      <w:r w:rsidRPr="00EE4D4D">
        <w:rPr>
          <w:rFonts w:eastAsia="TimesNewRomanPSMT"/>
          <w:sz w:val="25"/>
          <w:szCs w:val="25"/>
        </w:rPr>
        <w:t xml:space="preserve">в рамках реализации муниципальных, ведомственных целевых программ. </w:t>
      </w:r>
    </w:p>
    <w:p w:rsidR="00C011DD" w:rsidRPr="00EE4D4D" w:rsidRDefault="004213F5" w:rsidP="004213F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E4D4D">
        <w:rPr>
          <w:sz w:val="25"/>
          <w:szCs w:val="25"/>
        </w:rPr>
        <w:t xml:space="preserve">Информация о планировании бюджетных ассигнований муниципального дорожного фонда муниципального образования «Город Архангельск» по проекту решения приведена ниже в таблице.                                                                                                              </w:t>
      </w:r>
    </w:p>
    <w:p w:rsidR="004213F5" w:rsidRPr="00C77296" w:rsidRDefault="004213F5" w:rsidP="00C011DD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(</w:t>
      </w:r>
      <w:proofErr w:type="spellStart"/>
      <w:r>
        <w:rPr>
          <w:sz w:val="20"/>
          <w:szCs w:val="20"/>
        </w:rPr>
        <w:t>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</w:t>
      </w:r>
      <w:proofErr w:type="spellEnd"/>
      <w:r>
        <w:rPr>
          <w:sz w:val="20"/>
          <w:szCs w:val="20"/>
        </w:rPr>
        <w:t>.)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709"/>
        <w:gridCol w:w="1417"/>
        <w:gridCol w:w="1418"/>
        <w:gridCol w:w="1275"/>
      </w:tblGrid>
      <w:tr w:rsidR="004213F5" w:rsidRPr="004213F5" w:rsidTr="004213F5">
        <w:trPr>
          <w:trHeight w:val="364"/>
        </w:trPr>
        <w:tc>
          <w:tcPr>
            <w:tcW w:w="3652" w:type="dxa"/>
            <w:vMerge w:val="restart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Программа</w:t>
            </w:r>
          </w:p>
        </w:tc>
        <w:tc>
          <w:tcPr>
            <w:tcW w:w="1276" w:type="dxa"/>
            <w:vMerge w:val="restart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ВР</w:t>
            </w:r>
          </w:p>
        </w:tc>
        <w:tc>
          <w:tcPr>
            <w:tcW w:w="4110" w:type="dxa"/>
            <w:gridSpan w:val="3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Проект решения</w:t>
            </w:r>
          </w:p>
        </w:tc>
      </w:tr>
      <w:tr w:rsidR="004213F5" w:rsidRPr="004213F5" w:rsidTr="004213F5">
        <w:trPr>
          <w:trHeight w:val="283"/>
        </w:trPr>
        <w:tc>
          <w:tcPr>
            <w:tcW w:w="3652" w:type="dxa"/>
            <w:vMerge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2018 год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2019 год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2020 год</w:t>
            </w:r>
          </w:p>
        </w:tc>
      </w:tr>
      <w:tr w:rsidR="004213F5" w:rsidRPr="004213F5" w:rsidTr="004213F5">
        <w:tc>
          <w:tcPr>
            <w:tcW w:w="3652" w:type="dxa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МП «Комплексное развитие территорий МО «Город Архангельск»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2029900099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315 695,90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212 698,0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112 698,0</w:t>
            </w:r>
          </w:p>
        </w:tc>
      </w:tr>
      <w:tr w:rsidR="004213F5" w:rsidRPr="004213F5" w:rsidTr="004213F5">
        <w:tc>
          <w:tcPr>
            <w:tcW w:w="3652" w:type="dxa"/>
            <w:vMerge w:val="restart"/>
            <w:vAlign w:val="center"/>
          </w:tcPr>
          <w:p w:rsidR="004213F5" w:rsidRPr="004213F5" w:rsidRDefault="004213F5" w:rsidP="004213F5">
            <w:pPr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2029900099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800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101 795,40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100 956,20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100 956,20</w:t>
            </w:r>
          </w:p>
        </w:tc>
      </w:tr>
      <w:tr w:rsidR="004213F5" w:rsidRPr="004213F5" w:rsidTr="004213F5">
        <w:tc>
          <w:tcPr>
            <w:tcW w:w="3652" w:type="dxa"/>
            <w:vMerge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2029978120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106 691,40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111 404,80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111 727,10</w:t>
            </w:r>
          </w:p>
        </w:tc>
      </w:tr>
      <w:tr w:rsidR="004213F5" w:rsidRPr="004213F5" w:rsidTr="004213F5">
        <w:tc>
          <w:tcPr>
            <w:tcW w:w="3652" w:type="dxa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ВЦП «Капитальный ремонт объектов МО «Город Архангельск»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2039900099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7 000,0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24 444,0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</w:tr>
      <w:tr w:rsidR="004213F5" w:rsidRPr="004213F5" w:rsidTr="004213F5">
        <w:tc>
          <w:tcPr>
            <w:tcW w:w="3652" w:type="dxa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МП «Формирование современной городской среды на территории МО «Город Архангельск»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50199</w:t>
            </w:r>
            <w:r w:rsidRPr="004213F5">
              <w:rPr>
                <w:sz w:val="19"/>
                <w:szCs w:val="19"/>
                <w:lang w:val="en-US"/>
              </w:rPr>
              <w:t>L</w:t>
            </w:r>
            <w:r w:rsidRPr="004213F5">
              <w:rPr>
                <w:sz w:val="19"/>
                <w:szCs w:val="19"/>
              </w:rPr>
              <w:t>5550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7 138,0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7 138,0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7 138,0</w:t>
            </w:r>
          </w:p>
        </w:tc>
      </w:tr>
      <w:tr w:rsidR="004213F5" w:rsidRPr="004213F5" w:rsidTr="004213F5">
        <w:tc>
          <w:tcPr>
            <w:tcW w:w="3652" w:type="dxa"/>
            <w:vMerge w:val="restart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 xml:space="preserve">МП «Развитие города Архангельска как </w:t>
            </w:r>
            <w:r w:rsidRPr="004213F5">
              <w:rPr>
                <w:sz w:val="19"/>
                <w:szCs w:val="19"/>
              </w:rPr>
              <w:lastRenderedPageBreak/>
              <w:t>административного центра»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lastRenderedPageBreak/>
              <w:t>6009900099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58 509,80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112 107,0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9 888,30</w:t>
            </w:r>
          </w:p>
        </w:tc>
      </w:tr>
      <w:tr w:rsidR="004213F5" w:rsidRPr="004213F5" w:rsidTr="004213F5">
        <w:tc>
          <w:tcPr>
            <w:tcW w:w="3652" w:type="dxa"/>
            <w:vMerge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6009970310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400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29 334,10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0,0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0,0</w:t>
            </w:r>
          </w:p>
        </w:tc>
      </w:tr>
      <w:tr w:rsidR="004213F5" w:rsidRPr="004213F5" w:rsidTr="004213F5">
        <w:tc>
          <w:tcPr>
            <w:tcW w:w="3652" w:type="dxa"/>
            <w:vMerge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60099</w:t>
            </w:r>
            <w:r w:rsidRPr="004213F5">
              <w:rPr>
                <w:sz w:val="19"/>
                <w:szCs w:val="19"/>
                <w:lang w:val="en-US"/>
              </w:rPr>
              <w:t>S</w:t>
            </w:r>
            <w:r w:rsidRPr="004213F5">
              <w:rPr>
                <w:sz w:val="19"/>
                <w:szCs w:val="19"/>
              </w:rPr>
              <w:t>0310</w:t>
            </w: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400</w:t>
            </w: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780,0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0,0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4213F5">
              <w:rPr>
                <w:sz w:val="19"/>
                <w:szCs w:val="19"/>
              </w:rPr>
              <w:t>45 134,0</w:t>
            </w:r>
          </w:p>
        </w:tc>
      </w:tr>
      <w:tr w:rsidR="004213F5" w:rsidRPr="004213F5" w:rsidTr="004213F5">
        <w:tc>
          <w:tcPr>
            <w:tcW w:w="3652" w:type="dxa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both"/>
              <w:rPr>
                <w:b/>
                <w:sz w:val="19"/>
                <w:szCs w:val="19"/>
              </w:rPr>
            </w:pPr>
            <w:r w:rsidRPr="004213F5"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b/>
                <w:sz w:val="19"/>
                <w:szCs w:val="19"/>
              </w:rPr>
              <w:t>626 944,6</w:t>
            </w:r>
          </w:p>
        </w:tc>
        <w:tc>
          <w:tcPr>
            <w:tcW w:w="1418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b/>
                <w:sz w:val="19"/>
                <w:szCs w:val="19"/>
              </w:rPr>
              <w:t>568 748,0</w:t>
            </w:r>
          </w:p>
        </w:tc>
        <w:tc>
          <w:tcPr>
            <w:tcW w:w="1275" w:type="dxa"/>
            <w:vAlign w:val="center"/>
          </w:tcPr>
          <w:p w:rsidR="004213F5" w:rsidRPr="004213F5" w:rsidRDefault="004213F5" w:rsidP="00053662">
            <w:pPr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4213F5">
              <w:rPr>
                <w:b/>
                <w:sz w:val="19"/>
                <w:szCs w:val="19"/>
              </w:rPr>
              <w:t>387 541,6</w:t>
            </w:r>
          </w:p>
        </w:tc>
      </w:tr>
    </w:tbl>
    <w:p w:rsidR="004213F5" w:rsidRPr="00C77296" w:rsidRDefault="004213F5" w:rsidP="004213F5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18"/>
          <w:szCs w:val="18"/>
          <w:lang w:eastAsia="en-US"/>
        </w:rPr>
      </w:pPr>
    </w:p>
    <w:p w:rsidR="004213F5" w:rsidRPr="004213F5" w:rsidRDefault="004213F5" w:rsidP="004213F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4213F5">
        <w:rPr>
          <w:sz w:val="25"/>
          <w:szCs w:val="25"/>
        </w:rPr>
        <w:t xml:space="preserve">В соответствии с представленным проектом решения в объеме указанных бюджетных ассигнований расходы за счет субсидии из областного бюджета запланированы  в 2018 году  в сумме 136 025,5 </w:t>
      </w:r>
      <w:proofErr w:type="spellStart"/>
      <w:r w:rsidRPr="004213F5">
        <w:rPr>
          <w:sz w:val="25"/>
          <w:szCs w:val="25"/>
        </w:rPr>
        <w:t>тыс</w:t>
      </w:r>
      <w:proofErr w:type="gramStart"/>
      <w:r w:rsidRPr="004213F5">
        <w:rPr>
          <w:sz w:val="25"/>
          <w:szCs w:val="25"/>
        </w:rPr>
        <w:t>.р</w:t>
      </w:r>
      <w:proofErr w:type="gramEnd"/>
      <w:r w:rsidRPr="004213F5">
        <w:rPr>
          <w:sz w:val="25"/>
          <w:szCs w:val="25"/>
        </w:rPr>
        <w:t>уб</w:t>
      </w:r>
      <w:proofErr w:type="spellEnd"/>
      <w:r w:rsidRPr="004213F5">
        <w:rPr>
          <w:sz w:val="25"/>
          <w:szCs w:val="25"/>
        </w:rPr>
        <w:t xml:space="preserve">., в 2019 году  - 111 404,8 </w:t>
      </w:r>
      <w:proofErr w:type="spellStart"/>
      <w:r w:rsidRPr="004213F5">
        <w:rPr>
          <w:sz w:val="25"/>
          <w:szCs w:val="25"/>
        </w:rPr>
        <w:t>тыс.руб</w:t>
      </w:r>
      <w:proofErr w:type="spellEnd"/>
      <w:r w:rsidRPr="004213F5">
        <w:rPr>
          <w:sz w:val="25"/>
          <w:szCs w:val="25"/>
        </w:rPr>
        <w:t xml:space="preserve">. и 2020 году - 111 727,1 </w:t>
      </w:r>
      <w:proofErr w:type="spellStart"/>
      <w:r w:rsidRPr="004213F5">
        <w:rPr>
          <w:sz w:val="25"/>
          <w:szCs w:val="25"/>
        </w:rPr>
        <w:t>тыс.руб</w:t>
      </w:r>
      <w:proofErr w:type="spellEnd"/>
      <w:r w:rsidRPr="004213F5">
        <w:rPr>
          <w:sz w:val="25"/>
          <w:szCs w:val="25"/>
        </w:rPr>
        <w:t xml:space="preserve">. </w:t>
      </w:r>
    </w:p>
    <w:p w:rsidR="004213F5" w:rsidRPr="004213F5" w:rsidRDefault="004213F5" w:rsidP="004213F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4213F5">
        <w:rPr>
          <w:sz w:val="25"/>
          <w:szCs w:val="25"/>
        </w:rPr>
        <w:t>Направления использования средств дорожного фонда, определенные проектом решения, соответствуют утвержденному Порядку формирования и использования бюджетных ассигнований муниципального дорожного фонда, утвержденному решением Архангельской городской Думы от 19.06.2013 №594 «О создании муниципального дорожного фонда муниципального образования «Город Архангельск».</w:t>
      </w:r>
    </w:p>
    <w:p w:rsidR="003E0ABD" w:rsidRDefault="003E0ABD" w:rsidP="006A03A8">
      <w:pPr>
        <w:autoSpaceDE w:val="0"/>
        <w:autoSpaceDN w:val="0"/>
        <w:adjustRightInd w:val="0"/>
        <w:ind w:firstLine="540"/>
        <w:jc w:val="both"/>
        <w:rPr>
          <w:rFonts w:eastAsiaTheme="minorHAnsi"/>
          <w:highlight w:val="yellow"/>
          <w:lang w:eastAsia="en-US"/>
        </w:rPr>
      </w:pPr>
    </w:p>
    <w:p w:rsidR="00602FFA" w:rsidRPr="003A7FD1" w:rsidRDefault="00BB3E69" w:rsidP="003A7FD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0B7B1C">
        <w:rPr>
          <w:b/>
          <w:sz w:val="25"/>
          <w:szCs w:val="25"/>
        </w:rPr>
        <w:t>4.</w:t>
      </w:r>
      <w:r w:rsidR="00F10A0C" w:rsidRPr="000B7B1C">
        <w:rPr>
          <w:b/>
          <w:sz w:val="25"/>
          <w:szCs w:val="25"/>
        </w:rPr>
        <w:t>5</w:t>
      </w:r>
      <w:r w:rsidRPr="000B7B1C">
        <w:rPr>
          <w:b/>
          <w:sz w:val="25"/>
          <w:szCs w:val="25"/>
        </w:rPr>
        <w:t>.</w:t>
      </w:r>
      <w:r w:rsidRPr="000B7B1C">
        <w:rPr>
          <w:sz w:val="25"/>
          <w:szCs w:val="25"/>
        </w:rPr>
        <w:t xml:space="preserve"> </w:t>
      </w:r>
      <w:r w:rsidR="00602FFA" w:rsidRPr="003A7FD1">
        <w:rPr>
          <w:sz w:val="25"/>
          <w:szCs w:val="25"/>
        </w:rPr>
        <w:t xml:space="preserve">В проекте решения </w:t>
      </w:r>
      <w:r w:rsidR="00602FFA" w:rsidRPr="003A7FD1">
        <w:rPr>
          <w:b/>
          <w:i/>
          <w:sz w:val="25"/>
          <w:szCs w:val="25"/>
        </w:rPr>
        <w:t>резервный фонд</w:t>
      </w:r>
      <w:r w:rsidR="00602FFA" w:rsidRPr="003A7FD1">
        <w:rPr>
          <w:b/>
          <w:sz w:val="25"/>
          <w:szCs w:val="25"/>
        </w:rPr>
        <w:t xml:space="preserve"> </w:t>
      </w:r>
      <w:r w:rsidR="00602FFA" w:rsidRPr="003A7FD1">
        <w:rPr>
          <w:sz w:val="25"/>
          <w:szCs w:val="25"/>
        </w:rPr>
        <w:t>Администрации МО «Город Архангельск» на 2018 год запланирован в сумме 42 000,00 тыс.руб., на 2019 год и на 2020 год – по 24 400,00 тыс.руб. ежегодно.</w:t>
      </w:r>
    </w:p>
    <w:p w:rsidR="00602FFA" w:rsidRPr="003A7FD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3A7FD1">
        <w:rPr>
          <w:rFonts w:ascii="Times New Roman" w:hAnsi="Times New Roman"/>
          <w:sz w:val="25"/>
          <w:szCs w:val="25"/>
        </w:rPr>
        <w:t>Размер  резервного фонда по проекту решения на 2018 год предусмотрен в размере меньшем,  чем  был утвержден решением  о  бюджете на 2016 год  (46 000,00 тыс.руб.) на 4 000,00 тыс.руб. или на 8,7% и в размере равном, указанному в решении о бюджете на 2017 год (42 000,00 тыс.руб.).</w:t>
      </w:r>
    </w:p>
    <w:p w:rsidR="00602FFA" w:rsidRPr="003A7FD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3A7FD1">
        <w:rPr>
          <w:rFonts w:ascii="Times New Roman" w:hAnsi="Times New Roman"/>
          <w:sz w:val="25"/>
          <w:szCs w:val="25"/>
        </w:rPr>
        <w:t>Информация об установлении размера резервного фонда Администрации МО «Город Архангельск» на 2018 – 2020 годы приведена ниже в таблице.</w:t>
      </w:r>
    </w:p>
    <w:p w:rsidR="00602FFA" w:rsidRDefault="00602FFA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(тыс.руб.)</w:t>
      </w:r>
    </w:p>
    <w:tbl>
      <w:tblPr>
        <w:tblStyle w:val="a7"/>
        <w:tblW w:w="9834" w:type="dxa"/>
        <w:tblInd w:w="108" w:type="dxa"/>
        <w:tblLook w:val="04A0" w:firstRow="1" w:lastRow="0" w:firstColumn="1" w:lastColumn="0" w:noHBand="0" w:noVBand="1"/>
      </w:tblPr>
      <w:tblGrid>
        <w:gridCol w:w="5954"/>
        <w:gridCol w:w="1309"/>
        <w:gridCol w:w="1167"/>
        <w:gridCol w:w="1404"/>
      </w:tblGrid>
      <w:tr w:rsidR="00602FFA" w:rsidRPr="003A7FD1" w:rsidTr="003A7FD1">
        <w:tc>
          <w:tcPr>
            <w:tcW w:w="5954" w:type="dxa"/>
            <w:vMerge w:val="restart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880" w:type="dxa"/>
            <w:gridSpan w:val="3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Проект решения о бюджете</w:t>
            </w:r>
          </w:p>
        </w:tc>
      </w:tr>
      <w:tr w:rsidR="00602FFA" w:rsidRPr="003A7FD1" w:rsidTr="003A7FD1">
        <w:tc>
          <w:tcPr>
            <w:tcW w:w="5954" w:type="dxa"/>
            <w:vMerge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2018 год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2019 год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2020 год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3A7FD1" w:rsidP="00EF326F">
            <w:pPr>
              <w:pStyle w:val="af1"/>
              <w:jc w:val="both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н</w:t>
            </w:r>
            <w:r w:rsidR="00602FFA" w:rsidRPr="003A7FD1">
              <w:rPr>
                <w:rFonts w:ascii="Times New Roman" w:hAnsi="Times New Roman"/>
              </w:rPr>
              <w:t xml:space="preserve">а финансовое обеспечение расходов территориальных округов муниципального образования «Город Архангельск», из них </w:t>
            </w:r>
            <w:proofErr w:type="gramStart"/>
            <w:r w:rsidR="00602FFA" w:rsidRPr="003A7FD1">
              <w:rPr>
                <w:rFonts w:ascii="Times New Roman" w:hAnsi="Times New Roman"/>
              </w:rPr>
              <w:t>в</w:t>
            </w:r>
            <w:proofErr w:type="gramEnd"/>
            <w:r w:rsidR="00602FFA" w:rsidRPr="003A7FD1">
              <w:rPr>
                <w:rFonts w:ascii="Times New Roman" w:hAnsi="Times New Roman"/>
              </w:rPr>
              <w:t>: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21 000,0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11 100,0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11 100,0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3A7FD1">
              <w:rPr>
                <w:rFonts w:ascii="Times New Roman" w:hAnsi="Times New Roman"/>
                <w:i/>
              </w:rPr>
              <w:t>Ломоносовском территориальном округе</w:t>
            </w:r>
            <w:proofErr w:type="gramEnd"/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4 218,8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2 225,2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2 226,9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proofErr w:type="gramStart"/>
            <w:r w:rsidRPr="003A7FD1">
              <w:rPr>
                <w:rFonts w:ascii="Times New Roman" w:hAnsi="Times New Roman"/>
                <w:i/>
              </w:rPr>
              <w:t>Территориальном округе Варавино-Фактория</w:t>
            </w:r>
            <w:proofErr w:type="gramEnd"/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 xml:space="preserve">2 237,8 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1 189,5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1 189,4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>Маймаксанского территориального округа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1 248,6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655,3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649,1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>Территориального округа Майская горка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2 613,8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1 400,1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1 412,5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>Октябрьского территориального округа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4 944,2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2 608,6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2 610,3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>Исакогорского и Цигломенского территориальных округов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2 184,3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1 150,8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1 149,0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 xml:space="preserve">Соломбальского территориального округа 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 xml:space="preserve">2 087,8 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1 100,4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1 097,3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i/>
              </w:rPr>
            </w:pPr>
            <w:r w:rsidRPr="003A7FD1">
              <w:rPr>
                <w:rFonts w:ascii="Times New Roman" w:hAnsi="Times New Roman"/>
                <w:i/>
              </w:rPr>
              <w:t>Северного территориального округа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1 464,7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770,1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765,5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3A7FD1" w:rsidP="00EF326F">
            <w:pPr>
              <w:pStyle w:val="af1"/>
              <w:jc w:val="both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н</w:t>
            </w:r>
            <w:r w:rsidR="00602FFA" w:rsidRPr="003A7FD1">
              <w:rPr>
                <w:rFonts w:ascii="Times New Roman" w:hAnsi="Times New Roman"/>
              </w:rPr>
              <w:t>а финансовое обеспечение расходов Администрации МО «Город Архангельск»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21 000,0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13 300,0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</w:rPr>
            </w:pPr>
            <w:r w:rsidRPr="003A7FD1">
              <w:rPr>
                <w:rFonts w:ascii="Times New Roman" w:hAnsi="Times New Roman"/>
              </w:rPr>
              <w:t>13 300,0</w:t>
            </w:r>
          </w:p>
        </w:tc>
      </w:tr>
      <w:tr w:rsidR="00602FFA" w:rsidRPr="003A7FD1" w:rsidTr="003A7FD1">
        <w:tc>
          <w:tcPr>
            <w:tcW w:w="5954" w:type="dxa"/>
          </w:tcPr>
          <w:p w:rsidR="00602FFA" w:rsidRPr="003A7FD1" w:rsidRDefault="00602FFA" w:rsidP="00EF326F">
            <w:pPr>
              <w:pStyle w:val="af1"/>
              <w:jc w:val="both"/>
              <w:rPr>
                <w:rFonts w:ascii="Times New Roman" w:hAnsi="Times New Roman"/>
                <w:b/>
              </w:rPr>
            </w:pPr>
            <w:r w:rsidRPr="003A7FD1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309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7FD1">
              <w:rPr>
                <w:rFonts w:ascii="Times New Roman" w:hAnsi="Times New Roman"/>
                <w:b/>
              </w:rPr>
              <w:t>42 000,0</w:t>
            </w:r>
          </w:p>
        </w:tc>
        <w:tc>
          <w:tcPr>
            <w:tcW w:w="1167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7FD1">
              <w:rPr>
                <w:rFonts w:ascii="Times New Roman" w:hAnsi="Times New Roman"/>
                <w:b/>
              </w:rPr>
              <w:t>24 400,0</w:t>
            </w:r>
          </w:p>
        </w:tc>
        <w:tc>
          <w:tcPr>
            <w:tcW w:w="1404" w:type="dxa"/>
          </w:tcPr>
          <w:p w:rsidR="00602FFA" w:rsidRPr="003A7FD1" w:rsidRDefault="00602FFA" w:rsidP="00EF326F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3A7FD1">
              <w:rPr>
                <w:rFonts w:ascii="Times New Roman" w:hAnsi="Times New Roman"/>
                <w:b/>
              </w:rPr>
              <w:t>24 400,0</w:t>
            </w:r>
          </w:p>
        </w:tc>
      </w:tr>
    </w:tbl>
    <w:p w:rsidR="00602FFA" w:rsidRDefault="00602FFA" w:rsidP="00602FFA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602FFA" w:rsidRPr="003A7FD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3A7FD1">
        <w:rPr>
          <w:rFonts w:ascii="Times New Roman" w:hAnsi="Times New Roman"/>
          <w:sz w:val="25"/>
          <w:szCs w:val="25"/>
        </w:rPr>
        <w:t>Соотношение бюджетных ассигнований резервного фонда на финансовое обеспечение расходов территориальных округов муниципального образования «Город Архангельск» и на финансовое обеспечение расходов Администрации МО «Город Архангельск» по проекту решения на 2018 год и на плановый период 2019 и 2020 годов составляет: в 2018 году - в размере 50% и 50% соответственно, на период 2019 и 2020 годов - 45,5% и 54,5% соответственно на каждый</w:t>
      </w:r>
      <w:proofErr w:type="gramEnd"/>
      <w:r w:rsidRPr="003A7FD1">
        <w:rPr>
          <w:rFonts w:ascii="Times New Roman" w:hAnsi="Times New Roman"/>
          <w:sz w:val="25"/>
          <w:szCs w:val="25"/>
        </w:rPr>
        <w:t xml:space="preserve"> год.</w:t>
      </w:r>
    </w:p>
    <w:p w:rsidR="00602FFA" w:rsidRPr="003A7FD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3A7FD1">
        <w:rPr>
          <w:rFonts w:ascii="Times New Roman" w:hAnsi="Times New Roman"/>
          <w:sz w:val="25"/>
          <w:szCs w:val="25"/>
        </w:rPr>
        <w:t>Анализ распределения средств резервного фонда по территориальным округам муниципального образования «Город Архангельск» на 2016, 2017 и 2018 годы представлен ниже в таблице.</w:t>
      </w: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941857" w:rsidRDefault="00941857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602FFA" w:rsidRPr="002B783A" w:rsidRDefault="00602FFA" w:rsidP="00602FFA">
      <w:pPr>
        <w:pStyle w:val="af1"/>
        <w:ind w:firstLine="56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(</w:t>
      </w:r>
      <w:proofErr w:type="spellStart"/>
      <w:r w:rsidRPr="002B783A">
        <w:rPr>
          <w:rFonts w:ascii="Times New Roman" w:hAnsi="Times New Roman"/>
          <w:sz w:val="20"/>
          <w:szCs w:val="20"/>
        </w:rPr>
        <w:t>тыс</w:t>
      </w:r>
      <w:proofErr w:type="gramStart"/>
      <w:r w:rsidRPr="002B783A">
        <w:rPr>
          <w:rFonts w:ascii="Times New Roman" w:hAnsi="Times New Roman"/>
          <w:sz w:val="20"/>
          <w:szCs w:val="20"/>
        </w:rPr>
        <w:t>.р</w:t>
      </w:r>
      <w:proofErr w:type="gramEnd"/>
      <w:r w:rsidRPr="002B783A">
        <w:rPr>
          <w:rFonts w:ascii="Times New Roman" w:hAnsi="Times New Roman"/>
          <w:sz w:val="20"/>
          <w:szCs w:val="20"/>
        </w:rPr>
        <w:t>уб</w:t>
      </w:r>
      <w:proofErr w:type="spellEnd"/>
      <w:r w:rsidRPr="002B783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124"/>
        <w:gridCol w:w="844"/>
        <w:gridCol w:w="1176"/>
        <w:gridCol w:w="844"/>
        <w:gridCol w:w="1176"/>
        <w:gridCol w:w="931"/>
      </w:tblGrid>
      <w:tr w:rsidR="00602FFA" w:rsidRPr="00473748" w:rsidTr="00EB6446">
        <w:tc>
          <w:tcPr>
            <w:tcW w:w="3686" w:type="dxa"/>
            <w:vMerge w:val="restart"/>
            <w:vAlign w:val="center"/>
          </w:tcPr>
          <w:p w:rsidR="00602FFA" w:rsidRDefault="00602FFA" w:rsidP="00EB6446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Default="00602FFA" w:rsidP="00EB6446">
            <w:pPr>
              <w:pStyle w:val="af1"/>
              <w:jc w:val="center"/>
              <w:rPr>
                <w:rFonts w:ascii="Times New Roman" w:hAnsi="Times New Roman"/>
              </w:rPr>
            </w:pPr>
          </w:p>
          <w:p w:rsidR="00602FFA" w:rsidRPr="00473748" w:rsidRDefault="003A7FD1" w:rsidP="00EB6446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602FFA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  <w:p w:rsidR="00602FFA" w:rsidRPr="00473748" w:rsidRDefault="00602FFA" w:rsidP="00EB6446">
            <w:pPr>
              <w:pStyle w:val="af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Распределение</w:t>
            </w:r>
          </w:p>
          <w:p w:rsidR="003A7FD1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на 2016 год</w:t>
            </w:r>
          </w:p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(в соответствии с решением Архангельской городской Думы от 10.12.2015 №300, в ред. от 14.12.2016)</w:t>
            </w:r>
          </w:p>
        </w:tc>
        <w:tc>
          <w:tcPr>
            <w:tcW w:w="2020" w:type="dxa"/>
            <w:gridSpan w:val="2"/>
            <w:vAlign w:val="center"/>
          </w:tcPr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Распределение</w:t>
            </w:r>
          </w:p>
          <w:p w:rsidR="003A7FD1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на 2017 год</w:t>
            </w:r>
          </w:p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(в соответствии с решением Архангельской городской Думы от 14.12.2016 №460, в ред. от 25.10.2017)</w:t>
            </w:r>
          </w:p>
        </w:tc>
        <w:tc>
          <w:tcPr>
            <w:tcW w:w="2107" w:type="dxa"/>
            <w:gridSpan w:val="2"/>
            <w:vAlign w:val="center"/>
          </w:tcPr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Распределение</w:t>
            </w:r>
          </w:p>
          <w:p w:rsidR="003A7FD1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на 2018 год</w:t>
            </w:r>
          </w:p>
          <w:p w:rsidR="00602FFA" w:rsidRPr="003A7FD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A7FD1">
              <w:rPr>
                <w:rFonts w:ascii="Times New Roman" w:hAnsi="Times New Roman"/>
                <w:sz w:val="17"/>
                <w:szCs w:val="17"/>
              </w:rPr>
              <w:t>(в соответствии с проектом решения о городском бюджете на 2018 год и на плановый период 2019 и 2020 годов)</w:t>
            </w:r>
          </w:p>
        </w:tc>
      </w:tr>
      <w:tr w:rsidR="00602FFA" w:rsidRPr="002B783A" w:rsidTr="00EB6446">
        <w:tc>
          <w:tcPr>
            <w:tcW w:w="3686" w:type="dxa"/>
            <w:vMerge/>
            <w:vAlign w:val="center"/>
          </w:tcPr>
          <w:p w:rsidR="00602FFA" w:rsidRPr="00473748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сумма</w:t>
            </w:r>
          </w:p>
        </w:tc>
        <w:tc>
          <w:tcPr>
            <w:tcW w:w="844" w:type="dxa"/>
            <w:vAlign w:val="center"/>
          </w:tcPr>
          <w:p w:rsidR="00602FFA" w:rsidRPr="001D2FA1" w:rsidRDefault="003A7FD1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п</w:t>
            </w:r>
            <w:r w:rsidR="00602FFA" w:rsidRPr="001D2FA1">
              <w:rPr>
                <w:rFonts w:ascii="Times New Roman" w:hAnsi="Times New Roman"/>
                <w:sz w:val="17"/>
                <w:szCs w:val="17"/>
              </w:rPr>
              <w:t>роцент от общей суммы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сумма</w:t>
            </w:r>
          </w:p>
        </w:tc>
        <w:tc>
          <w:tcPr>
            <w:tcW w:w="844" w:type="dxa"/>
            <w:vAlign w:val="center"/>
          </w:tcPr>
          <w:p w:rsidR="00602FFA" w:rsidRPr="001D2FA1" w:rsidRDefault="003A7FD1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п</w:t>
            </w:r>
            <w:r w:rsidR="00602FFA" w:rsidRPr="001D2FA1">
              <w:rPr>
                <w:rFonts w:ascii="Times New Roman" w:hAnsi="Times New Roman"/>
                <w:sz w:val="17"/>
                <w:szCs w:val="17"/>
              </w:rPr>
              <w:t>роцент от общей суммы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сумма</w:t>
            </w:r>
          </w:p>
        </w:tc>
        <w:tc>
          <w:tcPr>
            <w:tcW w:w="931" w:type="dxa"/>
            <w:vAlign w:val="center"/>
          </w:tcPr>
          <w:p w:rsidR="00602FFA" w:rsidRPr="001D2FA1" w:rsidRDefault="003A7FD1" w:rsidP="00EB6446">
            <w:pPr>
              <w:pStyle w:val="af1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1D2FA1">
              <w:rPr>
                <w:rFonts w:ascii="Times New Roman" w:hAnsi="Times New Roman"/>
                <w:sz w:val="17"/>
                <w:szCs w:val="17"/>
              </w:rPr>
              <w:t>п</w:t>
            </w:r>
            <w:r w:rsidR="00602FFA" w:rsidRPr="001D2FA1">
              <w:rPr>
                <w:rFonts w:ascii="Times New Roman" w:hAnsi="Times New Roman"/>
                <w:sz w:val="17"/>
                <w:szCs w:val="17"/>
              </w:rPr>
              <w:t>роцент от общей суммы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Ломоносовский территориальный округ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4 168,8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4 213,0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4 218,8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20,1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территориальный округ Варавино-Фактория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2 207,4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2 215,3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2 237,8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Маймаксанский территориальный округ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1 288,4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1 264,4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1 248,6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территориальный округ Майская горка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2 549,4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2 585,8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2 613,8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Октябрьский территориальный округ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4 982,7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4 952,1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4 944,2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Исакогорский</w:t>
            </w:r>
            <w:proofErr w:type="spellEnd"/>
            <w:r w:rsidRPr="001D2FA1">
              <w:rPr>
                <w:rFonts w:ascii="Times New Roman" w:hAnsi="Times New Roman"/>
                <w:i/>
                <w:sz w:val="18"/>
                <w:szCs w:val="18"/>
              </w:rPr>
              <w:t xml:space="preserve"> и </w:t>
            </w:r>
            <w:proofErr w:type="spellStart"/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Цигломенский</w:t>
            </w:r>
            <w:proofErr w:type="spellEnd"/>
            <w:r w:rsidRPr="001D2FA1">
              <w:rPr>
                <w:rFonts w:ascii="Times New Roman" w:hAnsi="Times New Roman"/>
                <w:i/>
                <w:sz w:val="18"/>
                <w:szCs w:val="18"/>
              </w:rPr>
              <w:t xml:space="preserve"> территориальные округа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2 212,3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2 198,6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2 184,3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Соломбальский территориальный округ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2 116,1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10,1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2 098,2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2 087,8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</w:tr>
      <w:tr w:rsidR="00602FFA" w:rsidTr="00EB6446">
        <w:tc>
          <w:tcPr>
            <w:tcW w:w="3686" w:type="dxa"/>
            <w:vAlign w:val="center"/>
          </w:tcPr>
          <w:p w:rsidR="00602FFA" w:rsidRPr="001D2FA1" w:rsidRDefault="00602FFA" w:rsidP="00EB6446">
            <w:pPr>
              <w:pStyle w:val="af1"/>
              <w:rPr>
                <w:rFonts w:ascii="Times New Roman" w:hAnsi="Times New Roman"/>
                <w:i/>
                <w:sz w:val="18"/>
                <w:szCs w:val="18"/>
              </w:rPr>
            </w:pPr>
            <w:r w:rsidRPr="001D2FA1">
              <w:rPr>
                <w:rFonts w:ascii="Times New Roman" w:hAnsi="Times New Roman"/>
                <w:i/>
                <w:sz w:val="18"/>
                <w:szCs w:val="18"/>
              </w:rPr>
              <w:t>Северный территориальный округ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1 474,9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1 472,6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1 464,7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FA1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</w:tr>
      <w:tr w:rsidR="00602FFA" w:rsidRPr="00311EB2" w:rsidTr="00EB6446">
        <w:tc>
          <w:tcPr>
            <w:tcW w:w="3686" w:type="dxa"/>
            <w:vAlign w:val="center"/>
          </w:tcPr>
          <w:p w:rsidR="00602FFA" w:rsidRPr="001D2FA1" w:rsidRDefault="00EB6446" w:rsidP="00EB6446">
            <w:pPr>
              <w:pStyle w:val="af1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2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844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176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21 000,0</w:t>
            </w:r>
          </w:p>
        </w:tc>
        <w:tc>
          <w:tcPr>
            <w:tcW w:w="931" w:type="dxa"/>
            <w:vAlign w:val="center"/>
          </w:tcPr>
          <w:p w:rsidR="00602FFA" w:rsidRPr="001D2FA1" w:rsidRDefault="00602FFA" w:rsidP="00EB6446">
            <w:pPr>
              <w:pStyle w:val="af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D2FA1">
              <w:rPr>
                <w:rFonts w:ascii="Times New Roman" w:hAnsi="Times New Roman"/>
                <w:b/>
                <w:sz w:val="18"/>
                <w:szCs w:val="18"/>
              </w:rPr>
              <w:t>100,0</w:t>
            </w:r>
          </w:p>
        </w:tc>
      </w:tr>
    </w:tbl>
    <w:p w:rsidR="00602FFA" w:rsidRPr="00311EB2" w:rsidRDefault="00602FFA" w:rsidP="00602FFA">
      <w:pPr>
        <w:pStyle w:val="af1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02FFA" w:rsidRPr="001D2FA1" w:rsidRDefault="00602FFA" w:rsidP="00602FFA">
      <w:pPr>
        <w:pStyle w:val="af1"/>
        <w:ind w:firstLine="708"/>
        <w:jc w:val="both"/>
        <w:rPr>
          <w:rFonts w:ascii="Times New Roman" w:hAnsi="Times New Roman"/>
          <w:sz w:val="25"/>
          <w:szCs w:val="25"/>
        </w:rPr>
      </w:pPr>
      <w:r w:rsidRPr="001D2FA1">
        <w:rPr>
          <w:rFonts w:ascii="Times New Roman" w:hAnsi="Times New Roman"/>
          <w:sz w:val="25"/>
          <w:szCs w:val="25"/>
        </w:rPr>
        <w:t>Из анализа показателей таблицы следует, что резервный фонд Администрации МО «Город Архангельск», запланированный на финансовое обеспечение расходов территориальных округов муниципального образования «Город Архангельск», на  2016, 2017 и 2018 годы остается в относительно одинаковых процентных соотношениях.</w:t>
      </w:r>
    </w:p>
    <w:p w:rsidR="00602FFA" w:rsidRPr="001D2FA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1D2FA1">
        <w:rPr>
          <w:rFonts w:ascii="Times New Roman" w:hAnsi="Times New Roman"/>
          <w:sz w:val="25"/>
          <w:szCs w:val="25"/>
        </w:rPr>
        <w:t>По проекту решения на 2018 год и на плановый период 2019 и 2020 годов размер резервного фонда (ч.ч.1,2,3 ст.6 проекта решения) установлен с учетом ограничения, установленного п.3 ст.81 БК РФ (не более 3% утвержденного решением о бюджете общего объема расходов), и составляет на 2018, 2019 и 2020 годы 0,5%, 0,3% и 0,3% соответственно от общего</w:t>
      </w:r>
      <w:proofErr w:type="gramEnd"/>
      <w:r w:rsidRPr="001D2FA1">
        <w:rPr>
          <w:rFonts w:ascii="Times New Roman" w:hAnsi="Times New Roman"/>
          <w:sz w:val="25"/>
          <w:szCs w:val="25"/>
        </w:rPr>
        <w:t xml:space="preserve"> объема расходов городского бюджета.</w:t>
      </w:r>
    </w:p>
    <w:p w:rsidR="00602FFA" w:rsidRPr="001D2FA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1D2FA1">
        <w:rPr>
          <w:rFonts w:ascii="Times New Roman" w:hAnsi="Times New Roman"/>
          <w:sz w:val="25"/>
          <w:szCs w:val="25"/>
        </w:rPr>
        <w:t>В соответствии со ст.81 БК РФ решением о местном бюджете устанавливается  размер резервного фонда местной администрации (п.3). В расходной части бюджетов бюджетной системы Российской Федерации создание резервных фондов представительных органов и депутатов представительных органов запрещается (п.2).</w:t>
      </w:r>
    </w:p>
    <w:p w:rsidR="00602FFA" w:rsidRPr="001D2FA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1D2FA1">
        <w:rPr>
          <w:rFonts w:ascii="Times New Roman" w:hAnsi="Times New Roman"/>
          <w:sz w:val="25"/>
          <w:szCs w:val="25"/>
        </w:rPr>
        <w:t>Местной администрацией согласно ст.81 БК РФ устанавливается порядок использования бюджетных ассигнований резервного фонда местной администрации, предусмотренных в составе местного бюджета, в соответствии с направлениями, указанными в БК РФ (п.4, п.6 ст.81 БК РФ).</w:t>
      </w:r>
    </w:p>
    <w:p w:rsidR="00602FFA" w:rsidRPr="001D2FA1" w:rsidRDefault="00602FFA" w:rsidP="00602FFA">
      <w:pPr>
        <w:pStyle w:val="af1"/>
        <w:ind w:firstLine="567"/>
        <w:jc w:val="both"/>
        <w:rPr>
          <w:rFonts w:ascii="Times New Roman" w:hAnsi="Times New Roman"/>
          <w:sz w:val="25"/>
          <w:szCs w:val="25"/>
        </w:rPr>
      </w:pPr>
      <w:r w:rsidRPr="001D2FA1">
        <w:rPr>
          <w:rFonts w:ascii="Times New Roman" w:hAnsi="Times New Roman"/>
          <w:sz w:val="25"/>
          <w:szCs w:val="25"/>
        </w:rPr>
        <w:t>Создание резервного фонда с разделением на финансовое обеспечение расходов территориальных округов муниципального образования «Город Архангельск» исходя из численности проживающего в территориальном округе города Архангельска населения (п.3.3.2 Положения о бюджетном процессе и п.2 раздела II Положения о совете резервного фонда Администрации муниципального образования «Город Архангельск», утвержденного постановлением мэрии г</w:t>
      </w:r>
      <w:proofErr w:type="gramStart"/>
      <w:r w:rsidRPr="001D2FA1">
        <w:rPr>
          <w:rFonts w:ascii="Times New Roman" w:hAnsi="Times New Roman"/>
          <w:sz w:val="25"/>
          <w:szCs w:val="25"/>
        </w:rPr>
        <w:t>.А</w:t>
      </w:r>
      <w:proofErr w:type="gramEnd"/>
      <w:r w:rsidRPr="001D2FA1">
        <w:rPr>
          <w:rFonts w:ascii="Times New Roman" w:hAnsi="Times New Roman"/>
          <w:sz w:val="25"/>
          <w:szCs w:val="25"/>
        </w:rPr>
        <w:t>рхангельска от 25.12.2015 №114) и на финансовое обеспечение расходов Администрации МО «Город Архангельск» противоречит ст.81 БК РФ, не представляющей право формирования резервного фонда по составу в соответствии с выбранным порядком.</w:t>
      </w:r>
    </w:p>
    <w:p w:rsidR="003E0ABD" w:rsidRPr="001D2FA1" w:rsidRDefault="003E0ABD" w:rsidP="00C05F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EC386B" w:rsidRPr="007C1608" w:rsidRDefault="00EC386B" w:rsidP="00EC386B">
      <w:pPr>
        <w:ind w:firstLine="567"/>
        <w:jc w:val="both"/>
        <w:rPr>
          <w:sz w:val="25"/>
          <w:szCs w:val="25"/>
        </w:rPr>
      </w:pPr>
      <w:r w:rsidRPr="007C1608">
        <w:rPr>
          <w:b/>
          <w:sz w:val="25"/>
          <w:szCs w:val="25"/>
        </w:rPr>
        <w:t xml:space="preserve">4.6. </w:t>
      </w:r>
      <w:r w:rsidRPr="007C1608">
        <w:rPr>
          <w:sz w:val="25"/>
          <w:szCs w:val="25"/>
        </w:rPr>
        <w:t xml:space="preserve">Бюджетные ассигнования </w:t>
      </w:r>
      <w:r w:rsidRPr="007C1608">
        <w:rPr>
          <w:b/>
          <w:i/>
          <w:sz w:val="25"/>
          <w:szCs w:val="25"/>
        </w:rPr>
        <w:t>на реализацию программ</w:t>
      </w:r>
    </w:p>
    <w:p w:rsidR="00063D32" w:rsidRPr="00E16996" w:rsidRDefault="00EC386B" w:rsidP="00063D32">
      <w:pPr>
        <w:pStyle w:val="ConsPlusNormal"/>
        <w:ind w:firstLine="567"/>
        <w:jc w:val="both"/>
        <w:rPr>
          <w:sz w:val="25"/>
          <w:szCs w:val="25"/>
        </w:rPr>
      </w:pPr>
      <w:r w:rsidRPr="007C1608">
        <w:rPr>
          <w:b/>
          <w:sz w:val="25"/>
          <w:szCs w:val="25"/>
        </w:rPr>
        <w:t>4.6.1.</w:t>
      </w:r>
      <w:r w:rsidRPr="007C1608">
        <w:rPr>
          <w:sz w:val="25"/>
          <w:szCs w:val="25"/>
        </w:rPr>
        <w:t xml:space="preserve"> </w:t>
      </w:r>
      <w:proofErr w:type="gramStart"/>
      <w:r w:rsidR="00063D32" w:rsidRPr="00841A40">
        <w:rPr>
          <w:sz w:val="25"/>
          <w:szCs w:val="25"/>
        </w:rPr>
        <w:t xml:space="preserve">В соответствии с основными направлениями бюджетной </w:t>
      </w:r>
      <w:r w:rsidR="0006777C">
        <w:rPr>
          <w:sz w:val="25"/>
          <w:szCs w:val="25"/>
        </w:rPr>
        <w:t xml:space="preserve">и </w:t>
      </w:r>
      <w:r w:rsidR="00063D32" w:rsidRPr="00841A40">
        <w:rPr>
          <w:sz w:val="25"/>
          <w:szCs w:val="25"/>
        </w:rPr>
        <w:t>налоговой политики муниципального образования «Город Архангельск» на 2018 год и на плановый период 2019 и 2020 годов, утвержденными постановлением главы муниципального образования «Город Архангельск»</w:t>
      </w:r>
      <w:r w:rsidR="00063D32" w:rsidRPr="006F16EF">
        <w:rPr>
          <w:color w:val="00B050"/>
          <w:sz w:val="25"/>
          <w:szCs w:val="25"/>
        </w:rPr>
        <w:t xml:space="preserve"> </w:t>
      </w:r>
      <w:r w:rsidR="00063D32" w:rsidRPr="00E16996">
        <w:rPr>
          <w:sz w:val="25"/>
          <w:szCs w:val="25"/>
        </w:rPr>
        <w:t>от 15.06.2017 №634 (</w:t>
      </w:r>
      <w:r w:rsidR="00063D32" w:rsidRPr="00685E46">
        <w:rPr>
          <w:sz w:val="25"/>
          <w:szCs w:val="25"/>
        </w:rPr>
        <w:t xml:space="preserve">далее – Основные направления бюджетной </w:t>
      </w:r>
      <w:r w:rsidR="0006777C">
        <w:rPr>
          <w:sz w:val="25"/>
          <w:szCs w:val="25"/>
        </w:rPr>
        <w:t xml:space="preserve">и </w:t>
      </w:r>
      <w:r w:rsidR="00063D32" w:rsidRPr="00685E46">
        <w:rPr>
          <w:sz w:val="25"/>
          <w:szCs w:val="25"/>
        </w:rPr>
        <w:t>налоговой политики</w:t>
      </w:r>
      <w:r w:rsidR="00063D32" w:rsidRPr="00E16996">
        <w:rPr>
          <w:sz w:val="25"/>
          <w:szCs w:val="25"/>
        </w:rPr>
        <w:t xml:space="preserve">), одним из основных направлений в области расходов городского </w:t>
      </w:r>
      <w:r w:rsidR="00063D32" w:rsidRPr="00E16996">
        <w:rPr>
          <w:sz w:val="25"/>
          <w:szCs w:val="25"/>
        </w:rPr>
        <w:lastRenderedPageBreak/>
        <w:t>бюджета определено повышение эффективности расходов городского бюджета и совершенствование муниципального управления</w:t>
      </w:r>
      <w:proofErr w:type="gramEnd"/>
      <w:r w:rsidR="00063D32" w:rsidRPr="00E16996">
        <w:rPr>
          <w:sz w:val="25"/>
          <w:szCs w:val="25"/>
        </w:rPr>
        <w:t xml:space="preserve"> города Архангельска.</w:t>
      </w:r>
    </w:p>
    <w:p w:rsidR="00063D32" w:rsidRPr="006F16EF" w:rsidRDefault="00063D32" w:rsidP="00063D32">
      <w:pPr>
        <w:ind w:firstLine="567"/>
        <w:jc w:val="both"/>
        <w:rPr>
          <w:color w:val="00B050"/>
          <w:sz w:val="25"/>
          <w:szCs w:val="25"/>
        </w:rPr>
      </w:pPr>
      <w:r w:rsidRPr="00685E46">
        <w:rPr>
          <w:sz w:val="25"/>
          <w:szCs w:val="25"/>
        </w:rPr>
        <w:t>Бюджетные ассигнования на реализацию муниципальных программ муниципального образования «Город Архангельск» на 2018-2020 годы предусмотрены в следующем объеме:</w:t>
      </w:r>
    </w:p>
    <w:p w:rsidR="00063D32" w:rsidRPr="009009AD" w:rsidRDefault="00063D32" w:rsidP="00063D32">
      <w:pPr>
        <w:ind w:firstLine="567"/>
        <w:jc w:val="both"/>
        <w:rPr>
          <w:sz w:val="25"/>
          <w:szCs w:val="25"/>
        </w:rPr>
      </w:pPr>
      <w:r w:rsidRPr="009009AD">
        <w:rPr>
          <w:sz w:val="25"/>
          <w:szCs w:val="25"/>
        </w:rPr>
        <w:t>- в 2018 году в объеме 8 150 019,8 тыс.руб. или 97,7% общих расходов городского бюджета;</w:t>
      </w:r>
    </w:p>
    <w:p w:rsidR="00063D32" w:rsidRPr="005276DB" w:rsidRDefault="00063D32" w:rsidP="00063D32">
      <w:pPr>
        <w:ind w:firstLine="567"/>
        <w:jc w:val="both"/>
        <w:rPr>
          <w:sz w:val="25"/>
          <w:szCs w:val="25"/>
        </w:rPr>
      </w:pPr>
      <w:r w:rsidRPr="005276DB">
        <w:rPr>
          <w:sz w:val="25"/>
          <w:szCs w:val="25"/>
        </w:rPr>
        <w:t>- в 2019 году в объеме 8 065 935,5 тыс.руб. или 9</w:t>
      </w:r>
      <w:r>
        <w:rPr>
          <w:sz w:val="25"/>
          <w:szCs w:val="25"/>
        </w:rPr>
        <w:t>6</w:t>
      </w:r>
      <w:r w:rsidRPr="005276DB">
        <w:rPr>
          <w:sz w:val="25"/>
          <w:szCs w:val="25"/>
        </w:rPr>
        <w:t>,</w:t>
      </w:r>
      <w:r>
        <w:rPr>
          <w:sz w:val="25"/>
          <w:szCs w:val="25"/>
        </w:rPr>
        <w:t>6</w:t>
      </w:r>
      <w:r w:rsidRPr="005276DB">
        <w:rPr>
          <w:sz w:val="25"/>
          <w:szCs w:val="25"/>
        </w:rPr>
        <w:t>% общих расходов городского бюджета</w:t>
      </w:r>
      <w:r>
        <w:rPr>
          <w:sz w:val="25"/>
          <w:szCs w:val="25"/>
        </w:rPr>
        <w:t xml:space="preserve"> (с учетом условно утвержденных расходов)</w:t>
      </w:r>
      <w:r w:rsidRPr="005276DB">
        <w:rPr>
          <w:sz w:val="25"/>
          <w:szCs w:val="25"/>
        </w:rPr>
        <w:t>;</w:t>
      </w:r>
    </w:p>
    <w:p w:rsidR="00063D32" w:rsidRPr="005276DB" w:rsidRDefault="00063D32" w:rsidP="00063D32">
      <w:pPr>
        <w:ind w:firstLine="567"/>
        <w:jc w:val="both"/>
        <w:rPr>
          <w:sz w:val="25"/>
          <w:szCs w:val="25"/>
        </w:rPr>
      </w:pPr>
      <w:r w:rsidRPr="005276DB">
        <w:rPr>
          <w:sz w:val="25"/>
          <w:szCs w:val="25"/>
        </w:rPr>
        <w:t>-</w:t>
      </w:r>
      <w:r w:rsidRPr="005276DB">
        <w:t xml:space="preserve"> </w:t>
      </w:r>
      <w:r w:rsidRPr="005276DB">
        <w:rPr>
          <w:sz w:val="25"/>
          <w:szCs w:val="25"/>
        </w:rPr>
        <w:t>в 2020 году в объеме 8 016 354,2 тыс.руб. или 9</w:t>
      </w:r>
      <w:r>
        <w:rPr>
          <w:sz w:val="25"/>
          <w:szCs w:val="25"/>
        </w:rPr>
        <w:t>5</w:t>
      </w:r>
      <w:r w:rsidRPr="005276DB">
        <w:rPr>
          <w:sz w:val="25"/>
          <w:szCs w:val="25"/>
        </w:rPr>
        <w:t>,</w:t>
      </w:r>
      <w:r>
        <w:rPr>
          <w:sz w:val="25"/>
          <w:szCs w:val="25"/>
        </w:rPr>
        <w:t>1</w:t>
      </w:r>
      <w:r w:rsidRPr="005276DB">
        <w:rPr>
          <w:sz w:val="25"/>
          <w:szCs w:val="25"/>
        </w:rPr>
        <w:t>% общих расходов городского бюджета</w:t>
      </w:r>
      <w:r>
        <w:rPr>
          <w:sz w:val="25"/>
          <w:szCs w:val="25"/>
        </w:rPr>
        <w:t xml:space="preserve"> </w:t>
      </w:r>
      <w:r w:rsidRPr="00E0683A">
        <w:rPr>
          <w:sz w:val="25"/>
          <w:szCs w:val="25"/>
        </w:rPr>
        <w:t>(с учетом условно утвержденных расходов)</w:t>
      </w:r>
      <w:r w:rsidRPr="005276DB">
        <w:rPr>
          <w:sz w:val="25"/>
          <w:szCs w:val="25"/>
        </w:rPr>
        <w:t>.</w:t>
      </w:r>
    </w:p>
    <w:p w:rsidR="00063D32" w:rsidRPr="00DD1608" w:rsidRDefault="00063D32" w:rsidP="00063D32">
      <w:pPr>
        <w:ind w:firstLine="567"/>
        <w:jc w:val="both"/>
        <w:rPr>
          <w:sz w:val="25"/>
          <w:szCs w:val="25"/>
        </w:rPr>
      </w:pPr>
      <w:r w:rsidRPr="00685E46">
        <w:rPr>
          <w:sz w:val="25"/>
          <w:szCs w:val="25"/>
        </w:rPr>
        <w:t xml:space="preserve">Формирование расходной части городского бюджета на 2018 год и на плановый период 2019 и 2020 годов осуществлялось на основе Перечня муниципальных программ муниципального образования «Город Архангельск», утвержденного </w:t>
      </w:r>
      <w:r w:rsidRPr="00685E46">
        <w:rPr>
          <w:bCs/>
          <w:iCs/>
          <w:sz w:val="25"/>
          <w:szCs w:val="25"/>
        </w:rPr>
        <w:t xml:space="preserve">постановлением мэрии г.Архангельска от 07.04.2014 №285 </w:t>
      </w:r>
      <w:r w:rsidRPr="00FA3754">
        <w:rPr>
          <w:bCs/>
          <w:iCs/>
          <w:sz w:val="25"/>
          <w:szCs w:val="25"/>
        </w:rPr>
        <w:t xml:space="preserve">(с изм. от 19.05.2017), </w:t>
      </w:r>
      <w:r w:rsidRPr="0056730B">
        <w:rPr>
          <w:bCs/>
          <w:iCs/>
          <w:sz w:val="25"/>
          <w:szCs w:val="25"/>
        </w:rPr>
        <w:t xml:space="preserve">который включает </w:t>
      </w:r>
      <w:r w:rsidRPr="0056730B">
        <w:rPr>
          <w:sz w:val="25"/>
          <w:szCs w:val="25"/>
        </w:rPr>
        <w:t>5 муниципальных программ муниципального образования «Город Архангельск»</w:t>
      </w:r>
      <w:r w:rsidRPr="006F16EF">
        <w:rPr>
          <w:color w:val="00B050"/>
          <w:sz w:val="25"/>
          <w:szCs w:val="25"/>
        </w:rPr>
        <w:t xml:space="preserve"> </w:t>
      </w:r>
      <w:r w:rsidRPr="00685E46">
        <w:rPr>
          <w:sz w:val="25"/>
          <w:szCs w:val="25"/>
        </w:rPr>
        <w:t>(далее – МП, муниципальная программа):</w:t>
      </w:r>
    </w:p>
    <w:p w:rsidR="00063D32" w:rsidRPr="0056730B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56730B">
        <w:rPr>
          <w:sz w:val="25"/>
          <w:szCs w:val="25"/>
        </w:rPr>
        <w:t>-</w:t>
      </w:r>
      <w:r w:rsidR="0006777C">
        <w:rPr>
          <w:sz w:val="25"/>
          <w:szCs w:val="25"/>
        </w:rPr>
        <w:t xml:space="preserve"> </w:t>
      </w:r>
      <w:r w:rsidRPr="0056730B">
        <w:rPr>
          <w:sz w:val="25"/>
          <w:szCs w:val="25"/>
        </w:rPr>
        <w:t>МП «Развитие социальной сферы муниципального образования «Город Архангельск» (утверждена постановлением мэрии г</w:t>
      </w:r>
      <w:proofErr w:type="gramStart"/>
      <w:r w:rsidRPr="0056730B">
        <w:rPr>
          <w:sz w:val="25"/>
          <w:szCs w:val="25"/>
        </w:rPr>
        <w:t>.А</w:t>
      </w:r>
      <w:proofErr w:type="gramEnd"/>
      <w:r w:rsidRPr="0056730B">
        <w:rPr>
          <w:sz w:val="25"/>
          <w:szCs w:val="25"/>
        </w:rPr>
        <w:t>рхангельска от 31.10.2014 №910);</w:t>
      </w:r>
    </w:p>
    <w:p w:rsidR="00063D32" w:rsidRPr="0056730B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56730B">
        <w:rPr>
          <w:sz w:val="25"/>
          <w:szCs w:val="25"/>
        </w:rPr>
        <w:t>-</w:t>
      </w:r>
      <w:r w:rsidR="0006777C">
        <w:rPr>
          <w:sz w:val="25"/>
          <w:szCs w:val="25"/>
        </w:rPr>
        <w:t xml:space="preserve"> </w:t>
      </w:r>
      <w:r w:rsidRPr="0056730B">
        <w:rPr>
          <w:sz w:val="25"/>
          <w:szCs w:val="25"/>
        </w:rPr>
        <w:t>МП «Комплексное развитие территории муниципального образования «Город Архангельск» (утверждена постановлением мэрии г</w:t>
      </w:r>
      <w:proofErr w:type="gramStart"/>
      <w:r w:rsidRPr="0056730B">
        <w:rPr>
          <w:sz w:val="25"/>
          <w:szCs w:val="25"/>
        </w:rPr>
        <w:t>.А</w:t>
      </w:r>
      <w:proofErr w:type="gramEnd"/>
      <w:r w:rsidRPr="0056730B">
        <w:rPr>
          <w:sz w:val="25"/>
          <w:szCs w:val="25"/>
        </w:rPr>
        <w:t>рхангельска от 30.10.2014 №904);</w:t>
      </w:r>
    </w:p>
    <w:p w:rsidR="00063D32" w:rsidRPr="004A17F3" w:rsidRDefault="00063D32" w:rsidP="00063D32">
      <w:pPr>
        <w:ind w:firstLine="567"/>
        <w:jc w:val="both"/>
        <w:rPr>
          <w:sz w:val="25"/>
          <w:szCs w:val="25"/>
        </w:rPr>
      </w:pPr>
      <w:r w:rsidRPr="004A17F3">
        <w:rPr>
          <w:sz w:val="25"/>
          <w:szCs w:val="25"/>
        </w:rPr>
        <w:t>-</w:t>
      </w:r>
      <w:r w:rsidR="0006777C">
        <w:rPr>
          <w:sz w:val="25"/>
          <w:szCs w:val="25"/>
        </w:rPr>
        <w:t xml:space="preserve"> </w:t>
      </w:r>
      <w:r w:rsidRPr="004A17F3">
        <w:rPr>
          <w:sz w:val="25"/>
          <w:szCs w:val="25"/>
        </w:rPr>
        <w:t>МП «Совершенствование муниципального управления муниципального образования «Город Архангельск» (утверждена постановлением мэрии г</w:t>
      </w:r>
      <w:proofErr w:type="gramStart"/>
      <w:r w:rsidRPr="004A17F3">
        <w:rPr>
          <w:sz w:val="25"/>
          <w:szCs w:val="25"/>
        </w:rPr>
        <w:t>.А</w:t>
      </w:r>
      <w:proofErr w:type="gramEnd"/>
      <w:r w:rsidRPr="004A17F3">
        <w:rPr>
          <w:sz w:val="25"/>
          <w:szCs w:val="25"/>
        </w:rPr>
        <w:t>рхангельска от 30.10.2014 №903);</w:t>
      </w:r>
    </w:p>
    <w:p w:rsidR="00063D32" w:rsidRPr="004A17F3" w:rsidRDefault="00063D32" w:rsidP="00063D32">
      <w:pPr>
        <w:ind w:firstLine="567"/>
        <w:jc w:val="both"/>
        <w:rPr>
          <w:sz w:val="25"/>
          <w:szCs w:val="25"/>
        </w:rPr>
      </w:pPr>
      <w:r w:rsidRPr="004A17F3">
        <w:rPr>
          <w:sz w:val="25"/>
          <w:szCs w:val="25"/>
        </w:rPr>
        <w:t>-</w:t>
      </w:r>
      <w:r w:rsidR="0006777C">
        <w:rPr>
          <w:sz w:val="25"/>
          <w:szCs w:val="25"/>
        </w:rPr>
        <w:t xml:space="preserve"> </w:t>
      </w:r>
      <w:r w:rsidRPr="004A17F3">
        <w:rPr>
          <w:sz w:val="25"/>
          <w:szCs w:val="25"/>
        </w:rPr>
        <w:t>МП «Развитие города Архангельска как административного центра Архангельской области» (утверждена постановлением мэрии г</w:t>
      </w:r>
      <w:proofErr w:type="gramStart"/>
      <w:r w:rsidRPr="004A17F3">
        <w:rPr>
          <w:sz w:val="25"/>
          <w:szCs w:val="25"/>
        </w:rPr>
        <w:t>.А</w:t>
      </w:r>
      <w:proofErr w:type="gramEnd"/>
      <w:r w:rsidRPr="004A17F3">
        <w:rPr>
          <w:sz w:val="25"/>
          <w:szCs w:val="25"/>
        </w:rPr>
        <w:t>рхангельска от 13.12.2011 №608);</w:t>
      </w:r>
    </w:p>
    <w:p w:rsidR="00063D32" w:rsidRPr="00E0683A" w:rsidRDefault="00063D32" w:rsidP="00063D32">
      <w:pPr>
        <w:autoSpaceDE w:val="0"/>
        <w:autoSpaceDN w:val="0"/>
        <w:adjustRightInd w:val="0"/>
        <w:ind w:firstLine="540"/>
        <w:jc w:val="both"/>
      </w:pPr>
      <w:r w:rsidRPr="00E0683A">
        <w:rPr>
          <w:sz w:val="25"/>
          <w:szCs w:val="25"/>
        </w:rPr>
        <w:t>-</w:t>
      </w:r>
      <w:r w:rsidR="0006777C">
        <w:rPr>
          <w:sz w:val="25"/>
          <w:szCs w:val="25"/>
        </w:rPr>
        <w:t xml:space="preserve"> </w:t>
      </w:r>
      <w:r w:rsidRPr="00E0683A">
        <w:rPr>
          <w:sz w:val="25"/>
          <w:szCs w:val="25"/>
        </w:rPr>
        <w:t>МП «Формирование современной городской среды на территории муниципального образования «Город Архангельск» (утверждена постановлением мэрии г</w:t>
      </w:r>
      <w:proofErr w:type="gramStart"/>
      <w:r w:rsidRPr="00E0683A">
        <w:rPr>
          <w:sz w:val="25"/>
          <w:szCs w:val="25"/>
        </w:rPr>
        <w:t>.А</w:t>
      </w:r>
      <w:proofErr w:type="gramEnd"/>
      <w:r w:rsidRPr="00E0683A">
        <w:rPr>
          <w:sz w:val="25"/>
          <w:szCs w:val="25"/>
        </w:rPr>
        <w:t xml:space="preserve">рхангельска </w:t>
      </w:r>
      <w:r w:rsidRPr="00E0683A">
        <w:t>от 31.10.2017 №1294 (вступает в силу с 01.01.2018))</w:t>
      </w:r>
      <w:r w:rsidRPr="00E0683A">
        <w:rPr>
          <w:sz w:val="25"/>
          <w:szCs w:val="25"/>
        </w:rPr>
        <w:t>.</w:t>
      </w:r>
    </w:p>
    <w:p w:rsidR="00063D32" w:rsidRDefault="00063D32" w:rsidP="00EC245D">
      <w:pPr>
        <w:ind w:firstLine="540"/>
        <w:jc w:val="both"/>
        <w:rPr>
          <w:sz w:val="25"/>
          <w:szCs w:val="25"/>
        </w:rPr>
      </w:pPr>
      <w:r w:rsidRPr="00E0683A">
        <w:rPr>
          <w:sz w:val="25"/>
          <w:szCs w:val="25"/>
        </w:rPr>
        <w:t xml:space="preserve">Указанные муниципальные программы, за исключением МП «Развитие города Архангельска как административного центра Архангельской области», фактически состоят из ведомственных целевых программ муниципального образования «Город Архангельск» (далее – ВЦП, ведомственные целевые программы), а </w:t>
      </w:r>
      <w:r w:rsidRPr="00E0683A">
        <w:t>также подпрограмм.</w:t>
      </w:r>
      <w:r w:rsidRPr="00E0683A">
        <w:rPr>
          <w:sz w:val="25"/>
          <w:szCs w:val="25"/>
        </w:rPr>
        <w:t xml:space="preserve"> </w:t>
      </w:r>
      <w:r w:rsidRPr="00DD1608">
        <w:rPr>
          <w:sz w:val="25"/>
          <w:szCs w:val="25"/>
        </w:rPr>
        <w:t>Структура расходов бюджета сохраняет социальную направленность</w:t>
      </w:r>
      <w:r>
        <w:rPr>
          <w:sz w:val="25"/>
          <w:szCs w:val="25"/>
        </w:rPr>
        <w:t>.</w:t>
      </w:r>
    </w:p>
    <w:p w:rsidR="00063D32" w:rsidRPr="0006777C" w:rsidRDefault="00063D32" w:rsidP="00063D32">
      <w:pPr>
        <w:jc w:val="both"/>
        <w:rPr>
          <w:b/>
          <w:sz w:val="12"/>
          <w:szCs w:val="12"/>
        </w:rPr>
      </w:pPr>
    </w:p>
    <w:p w:rsidR="00063D32" w:rsidRPr="00685E46" w:rsidRDefault="00063D32" w:rsidP="00063D32">
      <w:pPr>
        <w:ind w:firstLine="540"/>
        <w:jc w:val="both"/>
        <w:rPr>
          <w:sz w:val="25"/>
          <w:szCs w:val="25"/>
        </w:rPr>
      </w:pPr>
      <w:r w:rsidRPr="00685E46">
        <w:rPr>
          <w:b/>
          <w:sz w:val="25"/>
          <w:szCs w:val="25"/>
        </w:rPr>
        <w:t>4.6.2.</w:t>
      </w:r>
      <w:r w:rsidRPr="00685E46">
        <w:rPr>
          <w:sz w:val="25"/>
          <w:szCs w:val="25"/>
        </w:rPr>
        <w:t xml:space="preserve"> Анализ распределения общего объема бюджетных ассигнований на реализацию </w:t>
      </w:r>
      <w:r w:rsidRPr="00685E46">
        <w:t>муниципальных программ в 2018 году показал</w:t>
      </w:r>
      <w:r w:rsidRPr="00685E46">
        <w:rPr>
          <w:sz w:val="25"/>
          <w:szCs w:val="25"/>
        </w:rPr>
        <w:t xml:space="preserve"> следующее (Приложение №1). </w:t>
      </w:r>
    </w:p>
    <w:p w:rsidR="00063D32" w:rsidRPr="00685E46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685E46">
        <w:rPr>
          <w:sz w:val="25"/>
          <w:szCs w:val="25"/>
        </w:rPr>
        <w:t>Наибольший объем бюджетных ассигнований на реализацию программ от общего их объема предусмотрен по следующим муниципальным программам:</w:t>
      </w:r>
    </w:p>
    <w:p w:rsidR="00063D32" w:rsidRPr="00A95C7A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A95C7A">
        <w:rPr>
          <w:sz w:val="25"/>
          <w:szCs w:val="25"/>
        </w:rPr>
        <w:t>- МП «Развитие социальной сферы муниципального образования «Город Архангельск» - 64,3% (по ВЦП «Развитие образования на территории муниципального образования «Город Архангельск» - 53,6% от общего объема бюджетных ассигнований на реализацию программ);</w:t>
      </w:r>
    </w:p>
    <w:p w:rsidR="00063D32" w:rsidRPr="00C75DCD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C75DCD">
        <w:rPr>
          <w:sz w:val="25"/>
          <w:szCs w:val="25"/>
        </w:rPr>
        <w:t>- МП «Комплексное развитие территории муниципального образования «Город Архангельск»» - 18,3% (по ВЦП «Развитие городского хозяйства на территории муниципального образования «Город Архангельск» - 16,1% от общего объема бюджетных ассигнований на реализацию программ);</w:t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A6A38">
        <w:rPr>
          <w:sz w:val="25"/>
          <w:szCs w:val="25"/>
        </w:rPr>
        <w:t>- МП «Совершенствование муниципального управления муниципального образования «Город Архангельск» - 12,</w:t>
      </w:r>
      <w:r>
        <w:rPr>
          <w:sz w:val="25"/>
          <w:szCs w:val="25"/>
        </w:rPr>
        <w:t>2</w:t>
      </w:r>
      <w:r w:rsidRPr="00DA6A38">
        <w:rPr>
          <w:sz w:val="25"/>
          <w:szCs w:val="25"/>
        </w:rPr>
        <w:t>% (по ВЦП «Муниципальные финансы муниципального образования «Город Архангельск» - 6,3%</w:t>
      </w:r>
      <w:r w:rsidRPr="00DA6A38">
        <w:t xml:space="preserve"> от </w:t>
      </w:r>
      <w:r w:rsidRPr="00DA6A38">
        <w:rPr>
          <w:sz w:val="25"/>
          <w:szCs w:val="25"/>
        </w:rPr>
        <w:t xml:space="preserve">общего объема бюджетных ассигнований на реализацию программ). </w:t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063D32" w:rsidRPr="00DA6A38" w:rsidRDefault="00063D32" w:rsidP="00E11A20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lastRenderedPageBreak/>
        <w:drawing>
          <wp:inline distT="0" distB="0" distL="0" distR="0" wp14:anchorId="1C715B17" wp14:editId="43C038F4">
            <wp:extent cx="5954232" cy="3604437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063D32" w:rsidRDefault="00ED3DA1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П</w:t>
      </w:r>
      <w:r w:rsidRPr="00685E46">
        <w:rPr>
          <w:sz w:val="25"/>
          <w:szCs w:val="25"/>
        </w:rPr>
        <w:t xml:space="preserve">о проекту решения </w:t>
      </w:r>
      <w:r>
        <w:rPr>
          <w:sz w:val="25"/>
          <w:szCs w:val="25"/>
        </w:rPr>
        <w:t>о</w:t>
      </w:r>
      <w:r w:rsidR="00063D32" w:rsidRPr="00685E46">
        <w:rPr>
          <w:sz w:val="25"/>
          <w:szCs w:val="25"/>
        </w:rPr>
        <w:t xml:space="preserve">бъем бюджетных ассигнований </w:t>
      </w:r>
      <w:r w:rsidRPr="00685E46">
        <w:rPr>
          <w:sz w:val="25"/>
          <w:szCs w:val="25"/>
        </w:rPr>
        <w:t xml:space="preserve">на 2018 год </w:t>
      </w:r>
      <w:r w:rsidR="00063D32" w:rsidRPr="00685E46">
        <w:rPr>
          <w:sz w:val="25"/>
          <w:szCs w:val="25"/>
        </w:rPr>
        <w:t>на реализацию мероприятий муниципальных программ по сравнению с объемом бюджетных ассигнований на реализацию муниципальных программ в 2017 году в соответствии с решением Архангельской городской Думы от</w:t>
      </w:r>
      <w:r w:rsidR="00063D32" w:rsidRPr="006F16EF">
        <w:rPr>
          <w:color w:val="00B050"/>
          <w:sz w:val="25"/>
          <w:szCs w:val="25"/>
        </w:rPr>
        <w:t xml:space="preserve"> </w:t>
      </w:r>
      <w:r w:rsidR="00063D32" w:rsidRPr="00506275">
        <w:rPr>
          <w:sz w:val="25"/>
          <w:szCs w:val="25"/>
        </w:rPr>
        <w:t xml:space="preserve">14.12.2016 №460 </w:t>
      </w:r>
      <w:r w:rsidR="00063D32" w:rsidRPr="00685E46">
        <w:rPr>
          <w:sz w:val="25"/>
          <w:szCs w:val="25"/>
        </w:rPr>
        <w:t>«О городском бюджете на 2017 год и на плановый период 2018 и 2019 годов»</w:t>
      </w:r>
      <w:r w:rsidR="00063D32" w:rsidRPr="006F16EF">
        <w:rPr>
          <w:color w:val="00B050"/>
          <w:sz w:val="25"/>
          <w:szCs w:val="25"/>
        </w:rPr>
        <w:t xml:space="preserve"> </w:t>
      </w:r>
      <w:r w:rsidR="00063D32" w:rsidRPr="00D968B8">
        <w:rPr>
          <w:sz w:val="25"/>
          <w:szCs w:val="25"/>
        </w:rPr>
        <w:t xml:space="preserve">(в ред. от 25.10.2017) </w:t>
      </w:r>
      <w:r w:rsidR="000352E6">
        <w:rPr>
          <w:sz w:val="25"/>
          <w:szCs w:val="25"/>
        </w:rPr>
        <w:t>увеличен</w:t>
      </w:r>
      <w:r w:rsidR="000352E6" w:rsidRPr="00D968B8">
        <w:rPr>
          <w:sz w:val="25"/>
          <w:szCs w:val="25"/>
        </w:rPr>
        <w:t xml:space="preserve"> </w:t>
      </w:r>
      <w:r w:rsidR="00063D32" w:rsidRPr="00D968B8">
        <w:rPr>
          <w:sz w:val="25"/>
          <w:szCs w:val="25"/>
        </w:rPr>
        <w:t xml:space="preserve">на 386 353,9 </w:t>
      </w:r>
      <w:proofErr w:type="spellStart"/>
      <w:r w:rsidR="00063D32" w:rsidRPr="00D968B8">
        <w:rPr>
          <w:sz w:val="25"/>
          <w:szCs w:val="25"/>
        </w:rPr>
        <w:t>тыс</w:t>
      </w:r>
      <w:proofErr w:type="gramEnd"/>
      <w:r w:rsidR="00063D32" w:rsidRPr="00D968B8">
        <w:rPr>
          <w:sz w:val="25"/>
          <w:szCs w:val="25"/>
        </w:rPr>
        <w:t>.руб</w:t>
      </w:r>
      <w:proofErr w:type="spellEnd"/>
      <w:r w:rsidR="00063D32" w:rsidRPr="00D968B8">
        <w:rPr>
          <w:sz w:val="25"/>
          <w:szCs w:val="25"/>
        </w:rPr>
        <w:t>.</w:t>
      </w:r>
      <w:r w:rsidR="00756080">
        <w:rPr>
          <w:sz w:val="25"/>
          <w:szCs w:val="25"/>
        </w:rPr>
        <w:t xml:space="preserve"> </w:t>
      </w:r>
      <w:r w:rsidR="00063D32">
        <w:rPr>
          <w:sz w:val="25"/>
          <w:szCs w:val="25"/>
        </w:rPr>
        <w:t>В соответствии с 2018 годом на</w:t>
      </w:r>
      <w:r w:rsidR="000352E6">
        <w:rPr>
          <w:sz w:val="25"/>
          <w:szCs w:val="25"/>
        </w:rPr>
        <w:t xml:space="preserve"> плановый </w:t>
      </w:r>
      <w:r w:rsidR="00063D32">
        <w:rPr>
          <w:sz w:val="25"/>
          <w:szCs w:val="25"/>
        </w:rPr>
        <w:t>период 2019</w:t>
      </w:r>
      <w:r w:rsidR="000352E6">
        <w:rPr>
          <w:sz w:val="25"/>
          <w:szCs w:val="25"/>
        </w:rPr>
        <w:t xml:space="preserve"> </w:t>
      </w:r>
      <w:r w:rsidR="00063D32">
        <w:rPr>
          <w:sz w:val="25"/>
          <w:szCs w:val="25"/>
        </w:rPr>
        <w:t>-</w:t>
      </w:r>
      <w:r w:rsidR="000352E6">
        <w:rPr>
          <w:sz w:val="25"/>
          <w:szCs w:val="25"/>
        </w:rPr>
        <w:t xml:space="preserve"> </w:t>
      </w:r>
      <w:r w:rsidR="00063D32">
        <w:rPr>
          <w:sz w:val="25"/>
          <w:szCs w:val="25"/>
        </w:rPr>
        <w:t>202</w:t>
      </w:r>
      <w:r w:rsidR="000352E6">
        <w:rPr>
          <w:sz w:val="25"/>
          <w:szCs w:val="25"/>
        </w:rPr>
        <w:t>0</w:t>
      </w:r>
      <w:r w:rsidR="00063D32">
        <w:rPr>
          <w:sz w:val="25"/>
          <w:szCs w:val="25"/>
        </w:rPr>
        <w:t xml:space="preserve"> годов прослеживается ежегодное снижение объема </w:t>
      </w:r>
      <w:r w:rsidR="00063D32" w:rsidRPr="005C2C8E">
        <w:rPr>
          <w:sz w:val="25"/>
          <w:szCs w:val="25"/>
        </w:rPr>
        <w:t>бюджетных ассигнований на реализацию мероприятий муниципальных программ</w:t>
      </w:r>
      <w:r w:rsidR="00063D32">
        <w:rPr>
          <w:sz w:val="25"/>
          <w:szCs w:val="25"/>
        </w:rPr>
        <w:t>, так в 2019 году на 84 084,3 тыс. руб., в 2020 году на 133 665,6 тыс</w:t>
      </w:r>
      <w:proofErr w:type="gramStart"/>
      <w:r w:rsidR="00063D32">
        <w:rPr>
          <w:sz w:val="25"/>
          <w:szCs w:val="25"/>
        </w:rPr>
        <w:t>.р</w:t>
      </w:r>
      <w:proofErr w:type="gramEnd"/>
      <w:r w:rsidR="00063D32">
        <w:rPr>
          <w:sz w:val="25"/>
          <w:szCs w:val="25"/>
        </w:rPr>
        <w:t xml:space="preserve">уб.  </w:t>
      </w:r>
    </w:p>
    <w:p w:rsidR="00337759" w:rsidRPr="0056214A" w:rsidRDefault="0056214A" w:rsidP="0056214A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56214A">
        <w:rPr>
          <w:sz w:val="20"/>
          <w:szCs w:val="20"/>
        </w:rPr>
        <w:t>(</w:t>
      </w:r>
      <w:proofErr w:type="spellStart"/>
      <w:r w:rsidRPr="0056214A">
        <w:rPr>
          <w:sz w:val="20"/>
          <w:szCs w:val="20"/>
        </w:rPr>
        <w:t>млн</w:t>
      </w:r>
      <w:proofErr w:type="gramStart"/>
      <w:r w:rsidRPr="0056214A">
        <w:rPr>
          <w:sz w:val="20"/>
          <w:szCs w:val="20"/>
        </w:rPr>
        <w:t>.р</w:t>
      </w:r>
      <w:proofErr w:type="gramEnd"/>
      <w:r w:rsidRPr="0056214A">
        <w:rPr>
          <w:sz w:val="20"/>
          <w:szCs w:val="20"/>
        </w:rPr>
        <w:t>уб</w:t>
      </w:r>
      <w:proofErr w:type="spellEnd"/>
      <w:r w:rsidRPr="0056214A">
        <w:rPr>
          <w:sz w:val="20"/>
          <w:szCs w:val="20"/>
        </w:rPr>
        <w:t>.)</w:t>
      </w:r>
    </w:p>
    <w:p w:rsidR="00063D32" w:rsidRDefault="00063D32" w:rsidP="00E11A20">
      <w:pPr>
        <w:widowControl w:val="0"/>
        <w:autoSpaceDE w:val="0"/>
        <w:autoSpaceDN w:val="0"/>
        <w:adjustRightInd w:val="0"/>
        <w:jc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 wp14:anchorId="4055B9F0" wp14:editId="33CB091A">
            <wp:extent cx="5996763" cy="2158410"/>
            <wp:effectExtent l="0" t="0" r="444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063D32" w:rsidRPr="00236699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236699">
        <w:rPr>
          <w:sz w:val="25"/>
          <w:szCs w:val="25"/>
        </w:rPr>
        <w:t xml:space="preserve">По результатам анализа проекта решения, документов, материалов к нему и решения Архангельской городской Думы от </w:t>
      </w:r>
      <w:r w:rsidRPr="00420CD1">
        <w:rPr>
          <w:sz w:val="25"/>
          <w:szCs w:val="25"/>
        </w:rPr>
        <w:t xml:space="preserve">14.12.2016 №460 </w:t>
      </w:r>
      <w:r w:rsidRPr="00236699">
        <w:rPr>
          <w:sz w:val="25"/>
          <w:szCs w:val="25"/>
        </w:rPr>
        <w:t xml:space="preserve">«О городском бюджете на 2017 год и на плановый период 2018 и 2019 годов» </w:t>
      </w:r>
      <w:r w:rsidR="00EC245D">
        <w:rPr>
          <w:sz w:val="25"/>
          <w:szCs w:val="25"/>
        </w:rPr>
        <w:t xml:space="preserve">(ред. от 25.10.2017) </w:t>
      </w:r>
      <w:r w:rsidRPr="00236699">
        <w:rPr>
          <w:sz w:val="25"/>
          <w:szCs w:val="25"/>
        </w:rPr>
        <w:t xml:space="preserve">установлены следующие изменения в </w:t>
      </w:r>
      <w:r w:rsidRPr="00236699">
        <w:t>финансировании м</w:t>
      </w:r>
      <w:r w:rsidRPr="00236699">
        <w:rPr>
          <w:sz w:val="25"/>
          <w:szCs w:val="25"/>
        </w:rPr>
        <w:t>униципальных программ:</w:t>
      </w:r>
    </w:p>
    <w:p w:rsidR="00063D32" w:rsidRPr="00236699" w:rsidRDefault="00063D32" w:rsidP="00063D32">
      <w:pPr>
        <w:widowControl w:val="0"/>
        <w:autoSpaceDE w:val="0"/>
        <w:autoSpaceDN w:val="0"/>
        <w:adjustRightInd w:val="0"/>
        <w:spacing w:before="120"/>
        <w:ind w:left="567"/>
        <w:contextualSpacing/>
        <w:jc w:val="both"/>
        <w:rPr>
          <w:sz w:val="25"/>
          <w:szCs w:val="25"/>
        </w:rPr>
      </w:pPr>
      <w:r w:rsidRPr="00236699">
        <w:rPr>
          <w:sz w:val="25"/>
          <w:szCs w:val="25"/>
          <w:u w:val="single"/>
        </w:rPr>
        <w:t>увеличивается размер бюджетных ассигнований на реализацию</w:t>
      </w:r>
      <w:r w:rsidRPr="00236699">
        <w:rPr>
          <w:sz w:val="25"/>
          <w:szCs w:val="25"/>
        </w:rPr>
        <w:t>:</w:t>
      </w:r>
    </w:p>
    <w:p w:rsidR="00063D32" w:rsidRPr="00342282" w:rsidRDefault="00063D32" w:rsidP="00063D32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927"/>
        <w:contextualSpacing/>
        <w:jc w:val="both"/>
        <w:rPr>
          <w:sz w:val="25"/>
          <w:szCs w:val="25"/>
        </w:rPr>
      </w:pPr>
      <w:r w:rsidRPr="00342282">
        <w:rPr>
          <w:sz w:val="25"/>
          <w:szCs w:val="25"/>
        </w:rPr>
        <w:t xml:space="preserve">МП   «Развитие   социальной   сферы   муниципального   образования   «Город </w:t>
      </w:r>
    </w:p>
    <w:p w:rsidR="00063D32" w:rsidRPr="008650E8" w:rsidRDefault="00063D32" w:rsidP="00063D32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5"/>
          <w:szCs w:val="25"/>
        </w:rPr>
      </w:pPr>
      <w:r w:rsidRPr="00342282">
        <w:rPr>
          <w:sz w:val="25"/>
          <w:szCs w:val="25"/>
        </w:rPr>
        <w:t xml:space="preserve">Архангельск» на 390 505,0 тыс.руб. или на 8%, </w:t>
      </w:r>
      <w:r w:rsidRPr="00A171E9">
        <w:rPr>
          <w:sz w:val="25"/>
          <w:szCs w:val="25"/>
        </w:rPr>
        <w:t xml:space="preserve">в том числе по ВЦП «Культура и молодежная   политика   муниципального   образования  «Город  Архангельск»  на   </w:t>
      </w:r>
      <w:r>
        <w:rPr>
          <w:sz w:val="25"/>
          <w:szCs w:val="25"/>
        </w:rPr>
        <w:lastRenderedPageBreak/>
        <w:t>74 355,9</w:t>
      </w:r>
      <w:r w:rsidRPr="00A171E9">
        <w:rPr>
          <w:sz w:val="25"/>
          <w:szCs w:val="25"/>
        </w:rPr>
        <w:t xml:space="preserve"> тыс.руб. или на </w:t>
      </w:r>
      <w:r w:rsidR="00EC245D">
        <w:rPr>
          <w:sz w:val="25"/>
          <w:szCs w:val="25"/>
        </w:rPr>
        <w:t>18,2</w:t>
      </w:r>
      <w:r w:rsidRPr="00A171E9">
        <w:rPr>
          <w:sz w:val="25"/>
          <w:szCs w:val="25"/>
        </w:rPr>
        <w:t xml:space="preserve">% </w:t>
      </w:r>
      <w:r w:rsidRPr="00EE5E72">
        <w:rPr>
          <w:sz w:val="25"/>
          <w:szCs w:val="25"/>
        </w:rPr>
        <w:t>в основном за счет увеличения бюджетных ассигнований на предоставление субсидий бюджетным, автономным учреждениям и иным некоммерческим организациям.</w:t>
      </w:r>
      <w:r w:rsidRPr="00EE5E72">
        <w:t xml:space="preserve"> </w:t>
      </w:r>
      <w:r w:rsidRPr="00EE5E72">
        <w:rPr>
          <w:sz w:val="25"/>
          <w:szCs w:val="25"/>
        </w:rPr>
        <w:t xml:space="preserve">В то же время предусмотрено уменьшение бюджетных ассигнований в основном по ВЦП «Социальная политика» на 54 052,3 тыс.руб. или на 30,1%, в том числе за счет уменьшения бюджетных ассигнований на </w:t>
      </w:r>
      <w:r w:rsidRPr="00927333">
        <w:rPr>
          <w:sz w:val="25"/>
          <w:szCs w:val="25"/>
        </w:rPr>
        <w:t xml:space="preserve">содержание и обеспечение деятельности органов местного самоуправления (муниципальных органов), </w:t>
      </w:r>
      <w:r w:rsidRPr="008650E8">
        <w:rPr>
          <w:sz w:val="25"/>
          <w:szCs w:val="25"/>
        </w:rPr>
        <w:t>а также мероприятий по проведению оздоровительной кампании детей.</w:t>
      </w:r>
    </w:p>
    <w:p w:rsidR="00063D32" w:rsidRPr="00685CD7" w:rsidRDefault="00063D32" w:rsidP="00063D32">
      <w:pPr>
        <w:widowControl w:val="0"/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5"/>
          <w:szCs w:val="25"/>
        </w:rPr>
      </w:pPr>
      <w:r w:rsidRPr="00A56289">
        <w:rPr>
          <w:sz w:val="25"/>
          <w:szCs w:val="25"/>
        </w:rPr>
        <w:t xml:space="preserve">           2) МП «Совершенствование муниципального управления муниципального образования «Город Архангельск» </w:t>
      </w:r>
      <w:r w:rsidRPr="004936ED">
        <w:t>на 116 197,7 тыс</w:t>
      </w:r>
      <w:proofErr w:type="gramStart"/>
      <w:r w:rsidRPr="004936ED">
        <w:t>.р</w:t>
      </w:r>
      <w:proofErr w:type="gramEnd"/>
      <w:r w:rsidRPr="004936ED">
        <w:t>уб</w:t>
      </w:r>
      <w:r w:rsidRPr="004936ED">
        <w:rPr>
          <w:sz w:val="25"/>
          <w:szCs w:val="25"/>
        </w:rPr>
        <w:t xml:space="preserve">. или на 13,3%, в том числе по </w:t>
      </w:r>
      <w:r w:rsidRPr="000B6936">
        <w:rPr>
          <w:sz w:val="25"/>
          <w:szCs w:val="25"/>
        </w:rPr>
        <w:t xml:space="preserve">ВЦП «Муниципальные  финансы  муниципального образования «Город  Архангельск» </w:t>
      </w:r>
      <w:r w:rsidRPr="000B6936">
        <w:t xml:space="preserve">на 105 288,6 </w:t>
      </w:r>
      <w:proofErr w:type="spellStart"/>
      <w:r w:rsidRPr="000B6936">
        <w:t>тыс.руб</w:t>
      </w:r>
      <w:proofErr w:type="spellEnd"/>
      <w:r w:rsidRPr="000B6936">
        <w:t>. или</w:t>
      </w:r>
      <w:r w:rsidRPr="000B6936">
        <w:rPr>
          <w:sz w:val="25"/>
          <w:szCs w:val="25"/>
        </w:rPr>
        <w:t xml:space="preserve"> на 25,6% в основном за счет увеличения бюджетных ассигнований на </w:t>
      </w:r>
      <w:r>
        <w:rPr>
          <w:sz w:val="25"/>
          <w:szCs w:val="25"/>
        </w:rPr>
        <w:t>р</w:t>
      </w:r>
      <w:r w:rsidRPr="00601166">
        <w:rPr>
          <w:sz w:val="25"/>
          <w:szCs w:val="25"/>
        </w:rPr>
        <w:t xml:space="preserve">асходы на выплаты персоналу в целях обеспечения выполнения функций муниципальными органами, казенными учреждениями, </w:t>
      </w:r>
      <w:r>
        <w:rPr>
          <w:sz w:val="25"/>
          <w:szCs w:val="25"/>
        </w:rPr>
        <w:t xml:space="preserve">а так же </w:t>
      </w:r>
      <w:r w:rsidR="00170307">
        <w:rPr>
          <w:sz w:val="25"/>
          <w:szCs w:val="25"/>
        </w:rPr>
        <w:t xml:space="preserve">на </w:t>
      </w:r>
      <w:r w:rsidRPr="00601166">
        <w:rPr>
          <w:sz w:val="25"/>
          <w:szCs w:val="25"/>
        </w:rPr>
        <w:t>обслуживание муниципального долга</w:t>
      </w:r>
      <w:r w:rsidRPr="006F16EF">
        <w:rPr>
          <w:color w:val="00B050"/>
          <w:sz w:val="25"/>
          <w:szCs w:val="25"/>
        </w:rPr>
        <w:t xml:space="preserve"> </w:t>
      </w:r>
      <w:r w:rsidRPr="0026435E">
        <w:rPr>
          <w:sz w:val="25"/>
          <w:szCs w:val="25"/>
        </w:rPr>
        <w:t xml:space="preserve">и исполнение судебных актов по искам к казне муниципального образования «Город Архангельск» о возмещении вреда и о присуждении компенсации за нарушение права на исполнение судебного акта в разумный срок. </w:t>
      </w:r>
      <w:r w:rsidRPr="003F143A">
        <w:rPr>
          <w:sz w:val="25"/>
          <w:szCs w:val="25"/>
        </w:rPr>
        <w:t xml:space="preserve">В то же время предусмотрено уменьшение бюджетных ассигнований в основном по ВЦП «Управление имуществом муниципального образования «Город Архангельск» на 3 698,7 тыс.руб. или на 7,0%, в том числе за счет уменьшения бюджетных ассигнований </w:t>
      </w:r>
      <w:r w:rsidRPr="00685CD7">
        <w:rPr>
          <w:sz w:val="25"/>
          <w:szCs w:val="25"/>
        </w:rPr>
        <w:t>на закупку товаров, работ и услуг для обеспечения муниципальных нужд.</w:t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FA018A">
        <w:rPr>
          <w:sz w:val="25"/>
          <w:szCs w:val="25"/>
        </w:rPr>
        <w:t>3) МП «Развитие города Архангельска как административного центра Архангельской области» на 40 520,</w:t>
      </w:r>
      <w:r w:rsidR="003D448B">
        <w:rPr>
          <w:sz w:val="25"/>
          <w:szCs w:val="25"/>
        </w:rPr>
        <w:t>2</w:t>
      </w:r>
      <w:r w:rsidRPr="00FA018A">
        <w:rPr>
          <w:sz w:val="25"/>
          <w:szCs w:val="25"/>
        </w:rPr>
        <w:t xml:space="preserve"> тыс</w:t>
      </w:r>
      <w:proofErr w:type="gramStart"/>
      <w:r w:rsidRPr="00FA018A">
        <w:rPr>
          <w:sz w:val="25"/>
          <w:szCs w:val="25"/>
        </w:rPr>
        <w:t>.р</w:t>
      </w:r>
      <w:proofErr w:type="gramEnd"/>
      <w:r w:rsidRPr="00FA018A">
        <w:rPr>
          <w:sz w:val="25"/>
          <w:szCs w:val="25"/>
        </w:rPr>
        <w:t xml:space="preserve">уб </w:t>
      </w:r>
      <w:r>
        <w:rPr>
          <w:sz w:val="25"/>
          <w:szCs w:val="25"/>
        </w:rPr>
        <w:t xml:space="preserve">или на 11,1% </w:t>
      </w:r>
      <w:r w:rsidRPr="00FA018A">
        <w:rPr>
          <w:sz w:val="25"/>
          <w:szCs w:val="25"/>
        </w:rPr>
        <w:t xml:space="preserve">в основном за счет </w:t>
      </w:r>
      <w:r w:rsidRPr="00395D24">
        <w:rPr>
          <w:sz w:val="25"/>
          <w:szCs w:val="25"/>
        </w:rPr>
        <w:t xml:space="preserve">приобретения речных судов для осуществления пассажирских перевозок по договору финансовой аренды (лизинга), </w:t>
      </w:r>
      <w:r w:rsidRPr="00041DCA">
        <w:rPr>
          <w:sz w:val="25"/>
          <w:szCs w:val="25"/>
        </w:rPr>
        <w:t>реконструкции и строительства автомобильных дорог и транспортных развязок,</w:t>
      </w:r>
      <w:r w:rsidRPr="006F16EF">
        <w:rPr>
          <w:color w:val="00B050"/>
          <w:sz w:val="25"/>
          <w:szCs w:val="25"/>
        </w:rPr>
        <w:t xml:space="preserve"> </w:t>
      </w:r>
      <w:r w:rsidRPr="00A13130">
        <w:rPr>
          <w:sz w:val="25"/>
          <w:szCs w:val="25"/>
        </w:rPr>
        <w:t xml:space="preserve">строительства детских садов и строительства модульных водоочистных сооружений из поверхностного источника для обеспечения питьевой водой южных районов </w:t>
      </w:r>
      <w:proofErr w:type="spellStart"/>
      <w:r w:rsidRPr="00A13130">
        <w:rPr>
          <w:sz w:val="25"/>
          <w:szCs w:val="25"/>
        </w:rPr>
        <w:t>г.Архангельска</w:t>
      </w:r>
      <w:proofErr w:type="spellEnd"/>
      <w:r w:rsidRPr="00A13130">
        <w:rPr>
          <w:sz w:val="25"/>
          <w:szCs w:val="25"/>
        </w:rPr>
        <w:t xml:space="preserve">, также благоустройства территории Петровского сквера и строительства парка отдыха в Ломоносовском территориальном округе. </w:t>
      </w:r>
    </w:p>
    <w:p w:rsidR="00063D32" w:rsidRPr="00A13130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4) МП «Формирование современной городской среды на территории муниципального образования «Город Архангельск» на 15 697,2 тыс. руб. </w:t>
      </w:r>
      <w:r w:rsidR="00170307">
        <w:rPr>
          <w:sz w:val="25"/>
          <w:szCs w:val="25"/>
        </w:rPr>
        <w:t>З</w:t>
      </w:r>
      <w:r>
        <w:rPr>
          <w:sz w:val="25"/>
          <w:szCs w:val="25"/>
        </w:rPr>
        <w:t>а счет бюджетных</w:t>
      </w:r>
      <w:r w:rsidRPr="00580A4F">
        <w:rPr>
          <w:sz w:val="25"/>
          <w:szCs w:val="25"/>
        </w:rPr>
        <w:t xml:space="preserve"> ассигновани</w:t>
      </w:r>
      <w:r>
        <w:rPr>
          <w:sz w:val="25"/>
          <w:szCs w:val="25"/>
        </w:rPr>
        <w:t>й</w:t>
      </w:r>
      <w:r w:rsidRPr="00441A66">
        <w:t xml:space="preserve"> </w:t>
      </w:r>
      <w:r>
        <w:rPr>
          <w:sz w:val="25"/>
          <w:szCs w:val="25"/>
        </w:rPr>
        <w:t>по подпрограмме</w:t>
      </w:r>
      <w:r w:rsidRPr="00441A66">
        <w:rPr>
          <w:sz w:val="25"/>
          <w:szCs w:val="25"/>
        </w:rPr>
        <w:t xml:space="preserve"> </w:t>
      </w:r>
      <w:r>
        <w:rPr>
          <w:sz w:val="25"/>
          <w:szCs w:val="25"/>
        </w:rPr>
        <w:t>«</w:t>
      </w:r>
      <w:r w:rsidRPr="00441A66">
        <w:rPr>
          <w:sz w:val="25"/>
          <w:szCs w:val="25"/>
        </w:rPr>
        <w:t xml:space="preserve">Благоустройство дворовых и общественных территорий муниципального образования </w:t>
      </w:r>
      <w:r>
        <w:rPr>
          <w:sz w:val="25"/>
          <w:szCs w:val="25"/>
        </w:rPr>
        <w:t>«</w:t>
      </w:r>
      <w:r w:rsidRPr="00441A66">
        <w:rPr>
          <w:sz w:val="25"/>
          <w:szCs w:val="25"/>
        </w:rPr>
        <w:t>Город Архангельск</w:t>
      </w:r>
      <w:r>
        <w:rPr>
          <w:sz w:val="25"/>
          <w:szCs w:val="25"/>
        </w:rPr>
        <w:t>»</w:t>
      </w:r>
      <w:r w:rsidR="00170307">
        <w:rPr>
          <w:sz w:val="25"/>
          <w:szCs w:val="25"/>
        </w:rPr>
        <w:t xml:space="preserve"> </w:t>
      </w:r>
      <w:r>
        <w:rPr>
          <w:sz w:val="25"/>
          <w:szCs w:val="25"/>
        </w:rPr>
        <w:t>планируется</w:t>
      </w:r>
      <w:r w:rsidRPr="00580A4F">
        <w:rPr>
          <w:sz w:val="25"/>
          <w:szCs w:val="25"/>
        </w:rPr>
        <w:t xml:space="preserve"> обеспечить</w:t>
      </w:r>
      <w:r>
        <w:rPr>
          <w:sz w:val="25"/>
          <w:szCs w:val="25"/>
        </w:rPr>
        <w:t xml:space="preserve"> </w:t>
      </w:r>
      <w:r w:rsidRPr="00580A4F">
        <w:rPr>
          <w:sz w:val="25"/>
          <w:szCs w:val="25"/>
        </w:rPr>
        <w:t>благоустройство дворовых территорий многоквартирных домов</w:t>
      </w:r>
      <w:r>
        <w:rPr>
          <w:sz w:val="25"/>
          <w:szCs w:val="25"/>
        </w:rPr>
        <w:t xml:space="preserve"> и </w:t>
      </w:r>
      <w:r w:rsidRPr="00580A4F">
        <w:rPr>
          <w:sz w:val="25"/>
          <w:szCs w:val="25"/>
        </w:rPr>
        <w:t>благоустройство общественных территорий</w:t>
      </w:r>
      <w:r>
        <w:rPr>
          <w:sz w:val="25"/>
          <w:szCs w:val="25"/>
        </w:rPr>
        <w:t>.</w:t>
      </w:r>
    </w:p>
    <w:p w:rsidR="00063D32" w:rsidRPr="00D70C4E" w:rsidRDefault="00063D32" w:rsidP="00063D32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5"/>
          <w:szCs w:val="25"/>
        </w:rPr>
      </w:pPr>
      <w:r w:rsidRPr="00AE5DD4">
        <w:rPr>
          <w:sz w:val="25"/>
          <w:szCs w:val="25"/>
          <w:u w:val="single"/>
        </w:rPr>
        <w:t>снижается размер бюджетных ассигнований на реализацию</w:t>
      </w:r>
      <w:r w:rsidRPr="00D70C4E">
        <w:rPr>
          <w:sz w:val="25"/>
          <w:szCs w:val="25"/>
        </w:rPr>
        <w:t xml:space="preserve"> МП «Комплексное развитие территории муниципального образования «Город Архангельск» на 176 566,2 тыс.руб. или на 10,6%, в том числе на реализацию:</w:t>
      </w:r>
    </w:p>
    <w:p w:rsidR="00063D32" w:rsidRPr="00936209" w:rsidRDefault="00063D32" w:rsidP="00063D3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6F16EF">
        <w:rPr>
          <w:color w:val="00B050"/>
          <w:sz w:val="25"/>
          <w:szCs w:val="25"/>
        </w:rPr>
        <w:tab/>
      </w:r>
      <w:r w:rsidRPr="00936209">
        <w:rPr>
          <w:sz w:val="25"/>
          <w:szCs w:val="25"/>
        </w:rPr>
        <w:t xml:space="preserve">- ВЦП «Развитие городского хозяйства на территории муниципального образования «Город Архангельск» на </w:t>
      </w:r>
      <w:r>
        <w:rPr>
          <w:sz w:val="25"/>
          <w:szCs w:val="25"/>
        </w:rPr>
        <w:t>173 000,4</w:t>
      </w:r>
      <w:r w:rsidRPr="00936209">
        <w:rPr>
          <w:sz w:val="25"/>
          <w:szCs w:val="25"/>
        </w:rPr>
        <w:t xml:space="preserve"> тыс.руб.</w:t>
      </w:r>
      <w:r>
        <w:rPr>
          <w:sz w:val="25"/>
          <w:szCs w:val="25"/>
        </w:rPr>
        <w:t xml:space="preserve"> или 11,7%</w:t>
      </w:r>
      <w:r w:rsidRPr="00936209">
        <w:rPr>
          <w:sz w:val="25"/>
          <w:szCs w:val="25"/>
        </w:rPr>
        <w:t>, в том числе за счет снижения бюджетных ассигнований по подразделам:</w:t>
      </w:r>
    </w:p>
    <w:p w:rsidR="00063D32" w:rsidRPr="002A2AB8" w:rsidRDefault="00063D32" w:rsidP="00063D32">
      <w:pPr>
        <w:numPr>
          <w:ilvl w:val="0"/>
          <w:numId w:val="24"/>
        </w:numPr>
        <w:contextualSpacing/>
        <w:rPr>
          <w:sz w:val="25"/>
          <w:szCs w:val="25"/>
        </w:rPr>
      </w:pPr>
      <w:r w:rsidRPr="002A2AB8">
        <w:rPr>
          <w:sz w:val="25"/>
          <w:szCs w:val="25"/>
        </w:rPr>
        <w:t>0113 «Другие общегосударственные вопросы» на 10 069,8 тыс.руб.;</w:t>
      </w:r>
    </w:p>
    <w:p w:rsidR="00063D32" w:rsidRPr="002A2AB8" w:rsidRDefault="00063D32" w:rsidP="00063D32">
      <w:pPr>
        <w:numPr>
          <w:ilvl w:val="0"/>
          <w:numId w:val="24"/>
        </w:numPr>
        <w:contextualSpacing/>
        <w:rPr>
          <w:sz w:val="25"/>
          <w:szCs w:val="25"/>
        </w:rPr>
      </w:pPr>
      <w:r w:rsidRPr="002A2AB8">
        <w:rPr>
          <w:sz w:val="25"/>
          <w:szCs w:val="25"/>
        </w:rPr>
        <w:t>0408 «Транспорт» на 32 314,2 тыс.руб.;</w:t>
      </w:r>
    </w:p>
    <w:p w:rsidR="00063D32" w:rsidRPr="002A2AB8" w:rsidRDefault="00063D32" w:rsidP="00063D32">
      <w:pPr>
        <w:numPr>
          <w:ilvl w:val="0"/>
          <w:numId w:val="24"/>
        </w:numPr>
        <w:contextualSpacing/>
        <w:jc w:val="both"/>
        <w:rPr>
          <w:sz w:val="25"/>
          <w:szCs w:val="25"/>
        </w:rPr>
      </w:pPr>
      <w:r w:rsidRPr="002A2AB8">
        <w:rPr>
          <w:sz w:val="25"/>
          <w:szCs w:val="25"/>
        </w:rPr>
        <w:t>0409 «Дорожное хозяйство» на 32 187,5</w:t>
      </w:r>
      <w:r>
        <w:rPr>
          <w:sz w:val="25"/>
          <w:szCs w:val="25"/>
        </w:rPr>
        <w:t xml:space="preserve"> тыс.руб.;</w:t>
      </w:r>
    </w:p>
    <w:p w:rsidR="00063D32" w:rsidRPr="009D0DD7" w:rsidRDefault="00063D32" w:rsidP="00063D32">
      <w:pPr>
        <w:numPr>
          <w:ilvl w:val="0"/>
          <w:numId w:val="28"/>
        </w:numPr>
        <w:contextualSpacing/>
        <w:jc w:val="both"/>
        <w:rPr>
          <w:sz w:val="25"/>
          <w:szCs w:val="25"/>
        </w:rPr>
      </w:pPr>
      <w:r w:rsidRPr="009D0DD7">
        <w:rPr>
          <w:sz w:val="25"/>
          <w:szCs w:val="25"/>
        </w:rPr>
        <w:t>0503 «Жилищно-коммунальное хозяйство» на 13 600,0 тыс.руб.;</w:t>
      </w:r>
    </w:p>
    <w:p w:rsidR="00063D32" w:rsidRDefault="00063D32" w:rsidP="00063D32">
      <w:pPr>
        <w:numPr>
          <w:ilvl w:val="0"/>
          <w:numId w:val="27"/>
        </w:numPr>
        <w:contextualSpacing/>
        <w:jc w:val="both"/>
        <w:rPr>
          <w:sz w:val="25"/>
          <w:szCs w:val="25"/>
        </w:rPr>
      </w:pPr>
      <w:r w:rsidRPr="009D0DD7">
        <w:rPr>
          <w:sz w:val="25"/>
          <w:szCs w:val="25"/>
        </w:rPr>
        <w:t>1003 «Социальное обеспечение населения» на 83 445,6</w:t>
      </w:r>
      <w:r>
        <w:rPr>
          <w:sz w:val="25"/>
          <w:szCs w:val="25"/>
        </w:rPr>
        <w:t xml:space="preserve"> тыс.руб.</w:t>
      </w:r>
    </w:p>
    <w:p w:rsidR="00063D32" w:rsidRPr="009D0DD7" w:rsidRDefault="00063D32" w:rsidP="00063D32">
      <w:pPr>
        <w:ind w:right="-1"/>
        <w:contextualSpacing/>
        <w:jc w:val="both"/>
        <w:rPr>
          <w:sz w:val="25"/>
          <w:szCs w:val="25"/>
        </w:rPr>
      </w:pPr>
    </w:p>
    <w:p w:rsidR="00063D32" w:rsidRPr="005B545E" w:rsidRDefault="00063D32" w:rsidP="00063D32">
      <w:pPr>
        <w:widowControl w:val="0"/>
        <w:autoSpaceDE w:val="0"/>
        <w:autoSpaceDN w:val="0"/>
        <w:adjustRightInd w:val="0"/>
        <w:spacing w:before="120"/>
        <w:ind w:firstLine="539"/>
        <w:jc w:val="both"/>
        <w:rPr>
          <w:sz w:val="25"/>
          <w:szCs w:val="25"/>
        </w:rPr>
      </w:pPr>
      <w:r w:rsidRPr="005B545E">
        <w:rPr>
          <w:b/>
          <w:sz w:val="25"/>
          <w:szCs w:val="25"/>
        </w:rPr>
        <w:t>4.6.3.</w:t>
      </w:r>
      <w:r w:rsidRPr="005B545E">
        <w:rPr>
          <w:sz w:val="25"/>
          <w:szCs w:val="25"/>
        </w:rPr>
        <w:t xml:space="preserve"> </w:t>
      </w:r>
      <w:proofErr w:type="gramStart"/>
      <w:r w:rsidRPr="005B545E">
        <w:rPr>
          <w:sz w:val="25"/>
          <w:szCs w:val="25"/>
        </w:rPr>
        <w:t>Согласно п.2 ст.172 БК РФ составление проекта бюджета основывается на государственных (муниципальных) программах (проектах государственных (муниципальных) программ, проектах изменений указанных программ.</w:t>
      </w:r>
      <w:proofErr w:type="gramEnd"/>
    </w:p>
    <w:p w:rsidR="00063D32" w:rsidRPr="005B545E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5B545E">
        <w:rPr>
          <w:sz w:val="25"/>
          <w:szCs w:val="25"/>
        </w:rPr>
        <w:t xml:space="preserve">С проектом городского бюджета на 2018 год и </w:t>
      </w:r>
      <w:r w:rsidR="00370828">
        <w:rPr>
          <w:sz w:val="25"/>
          <w:szCs w:val="25"/>
        </w:rPr>
        <w:t xml:space="preserve">на </w:t>
      </w:r>
      <w:r w:rsidRPr="005B545E">
        <w:rPr>
          <w:sz w:val="25"/>
          <w:szCs w:val="25"/>
        </w:rPr>
        <w:t xml:space="preserve">плановый период 2019 и 2020 годов  в контрольно-счетную палату представлены проекты изменений в паспорта </w:t>
      </w:r>
      <w:r w:rsidRPr="005B545E">
        <w:rPr>
          <w:sz w:val="25"/>
          <w:szCs w:val="25"/>
        </w:rPr>
        <w:lastRenderedPageBreak/>
        <w:t>муниципальных программ муниципального образования «Город Архангельск», утвержденных постановлениями мэрии г</w:t>
      </w:r>
      <w:proofErr w:type="gramStart"/>
      <w:r w:rsidRPr="005B545E">
        <w:rPr>
          <w:sz w:val="25"/>
          <w:szCs w:val="25"/>
        </w:rPr>
        <w:t>.А</w:t>
      </w:r>
      <w:proofErr w:type="gramEnd"/>
      <w:r w:rsidRPr="005B545E">
        <w:rPr>
          <w:sz w:val="25"/>
          <w:szCs w:val="25"/>
        </w:rPr>
        <w:t xml:space="preserve">рхангельска, объем финансирования которых в целом приведен в соответствие с объемом бюджетных ассигнований на 2018 год. </w:t>
      </w:r>
    </w:p>
    <w:p w:rsidR="00063D32" w:rsidRPr="00B77EB5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F582E">
        <w:rPr>
          <w:sz w:val="25"/>
          <w:szCs w:val="25"/>
        </w:rPr>
        <w:t xml:space="preserve">Объем бюджетных ассигнований в проекте городского бюджета на 2018 год и плановый период 2019 и 2020 годов по ведомственным целевым программам, подпрограммам муниципальных программ </w:t>
      </w:r>
      <w:r w:rsidRPr="00B77EB5">
        <w:rPr>
          <w:i/>
          <w:sz w:val="25"/>
          <w:szCs w:val="25"/>
        </w:rPr>
        <w:t>не соответствует объемам финансирования на 2018 год, установленным постановлениями мэрии г. Архангельска (Администрации МО «Город Архангельск») об утверждении ведомственных целевых программ, подпрограмм.</w:t>
      </w:r>
      <w:r w:rsidRPr="00B77EB5">
        <w:rPr>
          <w:sz w:val="25"/>
          <w:szCs w:val="25"/>
        </w:rPr>
        <w:t xml:space="preserve"> </w:t>
      </w:r>
    </w:p>
    <w:p w:rsidR="00063D32" w:rsidRPr="00B77EB5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77EB5">
        <w:rPr>
          <w:sz w:val="25"/>
          <w:szCs w:val="25"/>
          <w:u w:val="single"/>
        </w:rPr>
        <w:t>Наибольшие отклонения</w:t>
      </w:r>
      <w:r w:rsidRPr="00B77EB5">
        <w:rPr>
          <w:sz w:val="25"/>
          <w:szCs w:val="25"/>
        </w:rPr>
        <w:t xml:space="preserve"> в проекте городского бюджета на 2018 год установлены по следующим ведомственным целевым программам, подпрограммам муниципальных программ:</w:t>
      </w:r>
    </w:p>
    <w:p w:rsidR="00063D3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96BB2">
        <w:rPr>
          <w:sz w:val="25"/>
          <w:szCs w:val="25"/>
        </w:rPr>
        <w:t>- ВЦП «Развитие образования на территории муниципального образования «Город Архангельск» (увеличение на 211 446,4 тыс.руб.);</w:t>
      </w:r>
    </w:p>
    <w:p w:rsidR="00063D32" w:rsidRPr="00996BB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996BB2">
        <w:rPr>
          <w:sz w:val="25"/>
          <w:szCs w:val="25"/>
        </w:rPr>
        <w:t>ВЦП «Культура и молодежная политика муниципального образования «Город Архангельск» (увеличение на 85 332,3 тыс.руб.);</w:t>
      </w:r>
    </w:p>
    <w:p w:rsidR="00063D32" w:rsidRPr="00996BB2" w:rsidRDefault="00063D32" w:rsidP="00063D32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996BB2">
        <w:rPr>
          <w:sz w:val="25"/>
          <w:szCs w:val="25"/>
        </w:rPr>
        <w:t>- ВЦП «Развитие городского хозяйства на территории муниципального образования «Город Архангельск» (увеличение на 118 011,0 тыс.руб.).</w:t>
      </w:r>
    </w:p>
    <w:p w:rsidR="00063D32" w:rsidRPr="00F25DB6" w:rsidRDefault="00063D32" w:rsidP="00063D32">
      <w:pPr>
        <w:spacing w:before="120"/>
        <w:ind w:firstLine="567"/>
        <w:jc w:val="both"/>
        <w:rPr>
          <w:sz w:val="25"/>
          <w:szCs w:val="25"/>
        </w:rPr>
      </w:pPr>
      <w:r w:rsidRPr="00F25DB6">
        <w:rPr>
          <w:b/>
          <w:sz w:val="25"/>
          <w:szCs w:val="25"/>
        </w:rPr>
        <w:t>4.6.4.</w:t>
      </w:r>
      <w:r w:rsidRPr="00F25DB6">
        <w:rPr>
          <w:sz w:val="25"/>
          <w:szCs w:val="25"/>
        </w:rPr>
        <w:t xml:space="preserve"> В соответствии с разделом II Основных направлений бюджетной и налоговой политики основной целью бюджетной политики на 2018 год и на плановый период 2019 и 2020 годов остается </w:t>
      </w:r>
      <w:r w:rsidRPr="00E9442F">
        <w:rPr>
          <w:sz w:val="25"/>
          <w:szCs w:val="25"/>
        </w:rPr>
        <w:t>сбалансированност</w:t>
      </w:r>
      <w:r>
        <w:rPr>
          <w:sz w:val="25"/>
          <w:szCs w:val="25"/>
        </w:rPr>
        <w:t>ь</w:t>
      </w:r>
      <w:r w:rsidRPr="00E9442F">
        <w:rPr>
          <w:sz w:val="25"/>
          <w:szCs w:val="25"/>
        </w:rPr>
        <w:t xml:space="preserve"> и устойчивост</w:t>
      </w:r>
      <w:r>
        <w:rPr>
          <w:sz w:val="25"/>
          <w:szCs w:val="25"/>
        </w:rPr>
        <w:t>ь</w:t>
      </w:r>
      <w:r w:rsidRPr="00E9442F">
        <w:rPr>
          <w:sz w:val="25"/>
          <w:szCs w:val="25"/>
        </w:rPr>
        <w:t xml:space="preserve"> городского бюджета в среднесрочной перспективе с учетом</w:t>
      </w:r>
      <w:r w:rsidRPr="00F25DB6">
        <w:rPr>
          <w:sz w:val="25"/>
          <w:szCs w:val="25"/>
        </w:rPr>
        <w:t xml:space="preserve"> текущей экономической ситуации. Достижение указанной цели реализуется в частности путем </w:t>
      </w:r>
      <w:r w:rsidRPr="00E9442F">
        <w:rPr>
          <w:sz w:val="25"/>
          <w:szCs w:val="25"/>
        </w:rPr>
        <w:t>сохранени</w:t>
      </w:r>
      <w:r>
        <w:rPr>
          <w:sz w:val="25"/>
          <w:szCs w:val="25"/>
        </w:rPr>
        <w:t>я</w:t>
      </w:r>
      <w:r w:rsidRPr="00E9442F">
        <w:rPr>
          <w:sz w:val="25"/>
          <w:szCs w:val="25"/>
        </w:rPr>
        <w:t xml:space="preserve"> и развити</w:t>
      </w:r>
      <w:r>
        <w:rPr>
          <w:sz w:val="25"/>
          <w:szCs w:val="25"/>
        </w:rPr>
        <w:t>я</w:t>
      </w:r>
      <w:r w:rsidRPr="00E9442F">
        <w:rPr>
          <w:sz w:val="25"/>
          <w:szCs w:val="25"/>
        </w:rPr>
        <w:t xml:space="preserve"> доходных источников городского бюджета</w:t>
      </w:r>
      <w:r>
        <w:rPr>
          <w:sz w:val="25"/>
          <w:szCs w:val="25"/>
        </w:rPr>
        <w:t xml:space="preserve">, </w:t>
      </w:r>
      <w:r w:rsidRPr="00F25DB6">
        <w:rPr>
          <w:sz w:val="25"/>
          <w:szCs w:val="25"/>
        </w:rPr>
        <w:t>оптимизации расходных обязательств</w:t>
      </w:r>
      <w:r>
        <w:rPr>
          <w:sz w:val="25"/>
          <w:szCs w:val="25"/>
        </w:rPr>
        <w:t>,</w:t>
      </w:r>
      <w:r w:rsidRPr="00E9442F">
        <w:t xml:space="preserve"> </w:t>
      </w:r>
      <w:r w:rsidRPr="00E9442F">
        <w:rPr>
          <w:sz w:val="25"/>
          <w:szCs w:val="25"/>
        </w:rPr>
        <w:t>повышение качества и эффективности управления муниципальным долгом города Архангельск</w:t>
      </w:r>
      <w:r>
        <w:rPr>
          <w:sz w:val="25"/>
          <w:szCs w:val="25"/>
        </w:rPr>
        <w:t>а</w:t>
      </w:r>
      <w:r w:rsidRPr="00F25DB6">
        <w:rPr>
          <w:sz w:val="25"/>
          <w:szCs w:val="25"/>
        </w:rPr>
        <w:t>.</w:t>
      </w:r>
      <w:r w:rsidRPr="00E9442F">
        <w:t xml:space="preserve"> </w:t>
      </w:r>
      <w:r w:rsidRPr="00E9442F">
        <w:rPr>
          <w:sz w:val="25"/>
          <w:szCs w:val="25"/>
        </w:rPr>
        <w:t>Реализация поставленных цел</w:t>
      </w:r>
      <w:r>
        <w:rPr>
          <w:sz w:val="25"/>
          <w:szCs w:val="25"/>
        </w:rPr>
        <w:t>и</w:t>
      </w:r>
      <w:r w:rsidRPr="00E9442F">
        <w:rPr>
          <w:sz w:val="25"/>
          <w:szCs w:val="25"/>
        </w:rPr>
        <w:t xml:space="preserve"> и задач бюджетной и налоговой политики основыва</w:t>
      </w:r>
      <w:r w:rsidR="009F3CE9">
        <w:rPr>
          <w:sz w:val="25"/>
          <w:szCs w:val="25"/>
        </w:rPr>
        <w:t xml:space="preserve">ется </w:t>
      </w:r>
      <w:r w:rsidRPr="00E9442F">
        <w:rPr>
          <w:sz w:val="25"/>
          <w:szCs w:val="25"/>
        </w:rPr>
        <w:t xml:space="preserve"> на усовершенствованной системе социально-экономического и бюджетного планирования города Архангельска</w:t>
      </w:r>
      <w:r w:rsidR="009F3CE9">
        <w:rPr>
          <w:sz w:val="25"/>
          <w:szCs w:val="25"/>
        </w:rPr>
        <w:t>.</w:t>
      </w:r>
    </w:p>
    <w:p w:rsidR="00063D32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E9442F">
        <w:rPr>
          <w:sz w:val="25"/>
          <w:szCs w:val="25"/>
        </w:rPr>
        <w:t xml:space="preserve">В соответствии с данными отчета об исполнении городского бюджета за 9 месяцев 2017 года кассовое исполнение отдельных </w:t>
      </w:r>
      <w:r>
        <w:rPr>
          <w:sz w:val="25"/>
          <w:szCs w:val="25"/>
        </w:rPr>
        <w:t xml:space="preserve">муниципальных и </w:t>
      </w:r>
      <w:r w:rsidRPr="00E9442F">
        <w:rPr>
          <w:sz w:val="25"/>
          <w:szCs w:val="25"/>
        </w:rPr>
        <w:t xml:space="preserve">ведомственных целевых программ, подпрограмм муниципальных программ составляет менее 50%, в том числе </w:t>
      </w:r>
      <w:proofErr w:type="gramStart"/>
      <w:r w:rsidRPr="00E9442F">
        <w:rPr>
          <w:sz w:val="25"/>
          <w:szCs w:val="25"/>
        </w:rPr>
        <w:t>по</w:t>
      </w:r>
      <w:proofErr w:type="gramEnd"/>
      <w:r w:rsidRPr="00E9442F">
        <w:rPr>
          <w:sz w:val="25"/>
          <w:szCs w:val="25"/>
        </w:rPr>
        <w:t>:</w:t>
      </w:r>
    </w:p>
    <w:p w:rsidR="00063D32" w:rsidRPr="00E9442F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- МП «</w:t>
      </w:r>
      <w:r w:rsidRPr="008460A0">
        <w:rPr>
          <w:sz w:val="25"/>
          <w:szCs w:val="25"/>
        </w:rPr>
        <w:t>Развитие города Архангельска как административного центра Архангельской области</w:t>
      </w:r>
      <w:r>
        <w:rPr>
          <w:sz w:val="25"/>
          <w:szCs w:val="25"/>
        </w:rPr>
        <w:t>» исполнение составило 3 566,0 тыс.руб. (1,0%</w:t>
      </w:r>
      <w:r w:rsidRPr="008460A0">
        <w:t xml:space="preserve"> </w:t>
      </w:r>
      <w:r w:rsidRPr="008460A0">
        <w:rPr>
          <w:sz w:val="25"/>
          <w:szCs w:val="25"/>
        </w:rPr>
        <w:t>от бюджетных ассигнований, утвержденных решением о городском бюджете на 2017 год);</w:t>
      </w:r>
    </w:p>
    <w:p w:rsidR="00063D32" w:rsidRPr="000C3154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0C3154">
        <w:rPr>
          <w:sz w:val="25"/>
          <w:szCs w:val="25"/>
        </w:rPr>
        <w:t>- ВЦП «Социальная политика» исполнение 79 835,1 тыс.руб.</w:t>
      </w:r>
      <w:r w:rsidRPr="000C3154">
        <w:t xml:space="preserve"> </w:t>
      </w:r>
      <w:r w:rsidRPr="000C3154">
        <w:rPr>
          <w:sz w:val="25"/>
          <w:szCs w:val="25"/>
        </w:rPr>
        <w:t>(44,5% от бюджетных ассигнований, утвержденных решением о городском бюджете на 2017 год)</w:t>
      </w:r>
      <w:r>
        <w:rPr>
          <w:sz w:val="25"/>
          <w:szCs w:val="25"/>
        </w:rPr>
        <w:t>;</w:t>
      </w:r>
    </w:p>
    <w:p w:rsidR="00063D32" w:rsidRPr="000C3154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0C3154">
        <w:rPr>
          <w:sz w:val="25"/>
          <w:szCs w:val="25"/>
        </w:rPr>
        <w:t>- подпрограмме «Подготовка градостроительной и землеустроительной документации муниципального образования «Город Архангельск» исполнение нулевое, вместе с тем в городском бюджете на 2018 год предусмотрено дальнейшее финансирование мероприятий подпрограммы в объеме 723,3,0 тыс.руб.;</w:t>
      </w:r>
    </w:p>
    <w:p w:rsidR="00063D32" w:rsidRPr="006B06A8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6B06A8">
        <w:rPr>
          <w:sz w:val="25"/>
          <w:szCs w:val="25"/>
        </w:rPr>
        <w:t>- ВЦП «Профилактика безнадзорности и правонарушений несовершеннолетних» исполнение 100,8 тыс.руб. (49,4% от бюджетных ассигнований, утвержденных решением о городском бюджете на 2017 год);</w:t>
      </w:r>
    </w:p>
    <w:p w:rsidR="00063D32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6B06A8">
        <w:rPr>
          <w:sz w:val="25"/>
          <w:szCs w:val="25"/>
        </w:rPr>
        <w:t>- ВЦП «Обеспечение жильем молодых семей муниципального образования «Город Архангельск» исполнение 2 126,2 тыс.руб. (42,5% от бюджетных ассигнований, утвержденных решением о городском бюджете на 2017 год);</w:t>
      </w:r>
    </w:p>
    <w:p w:rsidR="00063D32" w:rsidRPr="006B06A8" w:rsidRDefault="00063D32" w:rsidP="00063D3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6B06A8">
        <w:rPr>
          <w:sz w:val="25"/>
          <w:szCs w:val="25"/>
        </w:rPr>
        <w:t>- ВЦП «</w:t>
      </w:r>
      <w:r>
        <w:rPr>
          <w:sz w:val="25"/>
          <w:szCs w:val="25"/>
        </w:rPr>
        <w:t>Капитальные вложения в объекты муниципальной собственности</w:t>
      </w:r>
      <w:r w:rsidRPr="006B06A8">
        <w:rPr>
          <w:sz w:val="25"/>
          <w:szCs w:val="25"/>
        </w:rPr>
        <w:t xml:space="preserve"> муниципального образования «Город Архангельск» исполнение </w:t>
      </w:r>
      <w:r>
        <w:rPr>
          <w:sz w:val="25"/>
          <w:szCs w:val="25"/>
        </w:rPr>
        <w:t>21 905,5</w:t>
      </w:r>
      <w:r w:rsidRPr="006B06A8">
        <w:rPr>
          <w:sz w:val="25"/>
          <w:szCs w:val="25"/>
        </w:rPr>
        <w:t xml:space="preserve"> тыс.руб. (</w:t>
      </w:r>
      <w:r>
        <w:rPr>
          <w:sz w:val="25"/>
          <w:szCs w:val="25"/>
        </w:rPr>
        <w:t>39,3</w:t>
      </w:r>
      <w:r w:rsidRPr="006B06A8">
        <w:rPr>
          <w:sz w:val="25"/>
          <w:szCs w:val="25"/>
        </w:rPr>
        <w:t>% от бюджетных ассигнований, утвержденных решением о городском бюджете на 2017 год);</w:t>
      </w:r>
    </w:p>
    <w:p w:rsidR="00063D32" w:rsidRPr="006F16EF" w:rsidRDefault="00063D32" w:rsidP="00063D32">
      <w:pPr>
        <w:autoSpaceDE w:val="0"/>
        <w:autoSpaceDN w:val="0"/>
        <w:adjustRightInd w:val="0"/>
        <w:ind w:firstLine="567"/>
        <w:jc w:val="both"/>
        <w:rPr>
          <w:color w:val="00B050"/>
          <w:sz w:val="25"/>
          <w:szCs w:val="25"/>
        </w:rPr>
      </w:pPr>
      <w:r w:rsidRPr="006B06A8">
        <w:rPr>
          <w:sz w:val="25"/>
          <w:szCs w:val="25"/>
        </w:rPr>
        <w:t xml:space="preserve">- ВЦП «Муниципальные финансы муниципального образования «Город Архангельск» исполнение 152 427,4 тыс.руб. (37,0% от бюджетных ассигнований, утвержденных решением о городском бюджете на 2017 год); </w:t>
      </w:r>
    </w:p>
    <w:p w:rsidR="00063D32" w:rsidRPr="000C3824" w:rsidRDefault="00063D32" w:rsidP="00063D3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C3824">
        <w:rPr>
          <w:sz w:val="25"/>
          <w:szCs w:val="25"/>
        </w:rPr>
        <w:lastRenderedPageBreak/>
        <w:t>- ВЦП «Развитие въездного и внутреннего туризма в муниципальном образовании «Город Архангельск» исполнение 96,1 тыс.руб. (35,0% от бюджетных ассигнований, утвержденных решением о городском бюджете на 2017 год)</w:t>
      </w:r>
      <w:r>
        <w:rPr>
          <w:sz w:val="25"/>
          <w:szCs w:val="25"/>
        </w:rPr>
        <w:t>.</w:t>
      </w:r>
      <w:r w:rsidRPr="000C3824">
        <w:rPr>
          <w:sz w:val="25"/>
          <w:szCs w:val="25"/>
        </w:rPr>
        <w:t xml:space="preserve"> </w:t>
      </w:r>
    </w:p>
    <w:p w:rsidR="00063D32" w:rsidRPr="00C13239" w:rsidRDefault="00063D32" w:rsidP="00063D32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proofErr w:type="gramStart"/>
      <w:r w:rsidRPr="00C13239">
        <w:rPr>
          <w:sz w:val="25"/>
          <w:szCs w:val="25"/>
        </w:rPr>
        <w:t>Таким образом, исполнение отдельных муниципальных программ,  ведомственных целевых программ, подпрограмм муниципальных программ за 9 месяцев 2017 года может свидетельствовать о неэффективном использовани</w:t>
      </w:r>
      <w:r w:rsidR="00F744D4">
        <w:rPr>
          <w:sz w:val="25"/>
          <w:szCs w:val="25"/>
        </w:rPr>
        <w:t>и</w:t>
      </w:r>
      <w:r w:rsidRPr="00C13239">
        <w:rPr>
          <w:sz w:val="25"/>
          <w:szCs w:val="25"/>
        </w:rPr>
        <w:t xml:space="preserve"> средств городского бюджета, направленных на реализацию данных программ, подпрограмм, и (или) недостаточно качественном планировании, в связи с чем, в целях оптимизации расходных обязательств необходимо обеспечить повышение контроля за реализацией программ</w:t>
      </w:r>
      <w:r>
        <w:rPr>
          <w:sz w:val="25"/>
          <w:szCs w:val="25"/>
        </w:rPr>
        <w:t>,</w:t>
      </w:r>
      <w:r w:rsidRPr="00C13239">
        <w:rPr>
          <w:sz w:val="25"/>
          <w:szCs w:val="25"/>
        </w:rPr>
        <w:t xml:space="preserve"> подпрограмм.</w:t>
      </w:r>
      <w:proofErr w:type="gramEnd"/>
    </w:p>
    <w:p w:rsidR="00063D32" w:rsidRDefault="00063D32" w:rsidP="00063D32"/>
    <w:p w:rsidR="005B686A" w:rsidRPr="005B686A" w:rsidRDefault="007676A2" w:rsidP="005B686A">
      <w:pPr>
        <w:ind w:firstLine="567"/>
        <w:jc w:val="both"/>
        <w:rPr>
          <w:color w:val="000000" w:themeColor="text1"/>
          <w:sz w:val="25"/>
          <w:szCs w:val="25"/>
        </w:rPr>
      </w:pPr>
      <w:r w:rsidRPr="004933DE">
        <w:rPr>
          <w:b/>
          <w:sz w:val="25"/>
          <w:szCs w:val="25"/>
        </w:rPr>
        <w:t>4.</w:t>
      </w:r>
      <w:r w:rsidR="00F10A0C" w:rsidRPr="004933DE">
        <w:rPr>
          <w:b/>
          <w:sz w:val="25"/>
          <w:szCs w:val="25"/>
        </w:rPr>
        <w:t>7</w:t>
      </w:r>
      <w:r w:rsidRPr="004933DE">
        <w:rPr>
          <w:b/>
          <w:sz w:val="25"/>
          <w:szCs w:val="25"/>
        </w:rPr>
        <w:t>.</w:t>
      </w:r>
      <w:r w:rsidRPr="004933DE">
        <w:rPr>
          <w:sz w:val="25"/>
          <w:szCs w:val="25"/>
        </w:rPr>
        <w:t xml:space="preserve"> </w:t>
      </w:r>
      <w:r w:rsidR="005B686A" w:rsidRPr="005B686A">
        <w:rPr>
          <w:color w:val="000000" w:themeColor="text1"/>
          <w:sz w:val="25"/>
          <w:szCs w:val="25"/>
        </w:rPr>
        <w:t xml:space="preserve">В соответствии с проектом решения бюджетные ассигнования на </w:t>
      </w:r>
      <w:r w:rsidR="005B686A" w:rsidRPr="005B686A">
        <w:rPr>
          <w:b/>
          <w:i/>
          <w:color w:val="000000" w:themeColor="text1"/>
          <w:sz w:val="25"/>
          <w:szCs w:val="25"/>
        </w:rPr>
        <w:t>капитальные вложения в объекты муниципальной собственности</w:t>
      </w:r>
      <w:r w:rsidR="005B686A" w:rsidRPr="005B686A">
        <w:rPr>
          <w:color w:val="000000" w:themeColor="text1"/>
          <w:sz w:val="25"/>
          <w:szCs w:val="25"/>
        </w:rPr>
        <w:t xml:space="preserve"> муниципального образования «Город Архангельск»</w:t>
      </w:r>
      <w:r w:rsidR="005B686A" w:rsidRPr="005B686A">
        <w:rPr>
          <w:b/>
          <w:i/>
          <w:color w:val="000000" w:themeColor="text1"/>
          <w:sz w:val="25"/>
          <w:szCs w:val="25"/>
        </w:rPr>
        <w:t xml:space="preserve"> </w:t>
      </w:r>
      <w:r w:rsidR="005B686A" w:rsidRPr="005B686A">
        <w:rPr>
          <w:color w:val="000000" w:themeColor="text1"/>
          <w:sz w:val="25"/>
          <w:szCs w:val="25"/>
        </w:rPr>
        <w:t xml:space="preserve">на 2018 год и </w:t>
      </w:r>
      <w:r w:rsidR="005B686A">
        <w:rPr>
          <w:color w:val="000000" w:themeColor="text1"/>
          <w:sz w:val="25"/>
          <w:szCs w:val="25"/>
        </w:rPr>
        <w:t xml:space="preserve">на </w:t>
      </w:r>
      <w:r w:rsidR="005B686A" w:rsidRPr="005B686A">
        <w:rPr>
          <w:color w:val="000000" w:themeColor="text1"/>
          <w:sz w:val="25"/>
          <w:szCs w:val="25"/>
        </w:rPr>
        <w:t xml:space="preserve">плановый период 2019 и 2020 годов установлены в объеме  410 273,3 </w:t>
      </w:r>
      <w:proofErr w:type="spellStart"/>
      <w:r w:rsidR="005B686A" w:rsidRPr="005B686A">
        <w:rPr>
          <w:color w:val="000000" w:themeColor="text1"/>
          <w:sz w:val="25"/>
          <w:szCs w:val="25"/>
        </w:rPr>
        <w:t>тыс</w:t>
      </w:r>
      <w:proofErr w:type="gramStart"/>
      <w:r w:rsidR="005B686A" w:rsidRPr="005B686A">
        <w:rPr>
          <w:color w:val="000000" w:themeColor="text1"/>
          <w:sz w:val="25"/>
          <w:szCs w:val="25"/>
        </w:rPr>
        <w:t>.р</w:t>
      </w:r>
      <w:proofErr w:type="gramEnd"/>
      <w:r w:rsidR="005B686A" w:rsidRPr="005B686A">
        <w:rPr>
          <w:color w:val="000000" w:themeColor="text1"/>
          <w:sz w:val="25"/>
          <w:szCs w:val="25"/>
        </w:rPr>
        <w:t>уб</w:t>
      </w:r>
      <w:proofErr w:type="spellEnd"/>
      <w:r w:rsidR="005B686A" w:rsidRPr="005B686A">
        <w:rPr>
          <w:color w:val="000000" w:themeColor="text1"/>
          <w:sz w:val="25"/>
          <w:szCs w:val="25"/>
        </w:rPr>
        <w:t xml:space="preserve">.,  434 160,4 </w:t>
      </w:r>
      <w:proofErr w:type="spellStart"/>
      <w:r w:rsidR="005B686A" w:rsidRPr="005B686A">
        <w:rPr>
          <w:color w:val="000000" w:themeColor="text1"/>
          <w:sz w:val="25"/>
          <w:szCs w:val="25"/>
        </w:rPr>
        <w:t>тыс.руб</w:t>
      </w:r>
      <w:proofErr w:type="spellEnd"/>
      <w:r w:rsidR="005B686A" w:rsidRPr="005B686A">
        <w:rPr>
          <w:color w:val="000000" w:themeColor="text1"/>
          <w:sz w:val="25"/>
          <w:szCs w:val="25"/>
        </w:rPr>
        <w:t xml:space="preserve">. и 421 457,8 </w:t>
      </w:r>
      <w:proofErr w:type="spellStart"/>
      <w:r w:rsidR="005B686A" w:rsidRPr="005B686A">
        <w:rPr>
          <w:color w:val="000000" w:themeColor="text1"/>
          <w:sz w:val="25"/>
          <w:szCs w:val="25"/>
        </w:rPr>
        <w:t>тыс.руб</w:t>
      </w:r>
      <w:proofErr w:type="spellEnd"/>
      <w:r w:rsidR="005B686A" w:rsidRPr="005B686A">
        <w:rPr>
          <w:color w:val="000000" w:themeColor="text1"/>
          <w:sz w:val="25"/>
          <w:szCs w:val="25"/>
        </w:rPr>
        <w:t>. соответственно.</w:t>
      </w:r>
    </w:p>
    <w:p w:rsidR="005B686A" w:rsidRPr="005B686A" w:rsidRDefault="005B686A" w:rsidP="005B686A">
      <w:pPr>
        <w:tabs>
          <w:tab w:val="left" w:pos="9639"/>
        </w:tabs>
        <w:ind w:firstLine="567"/>
        <w:contextualSpacing/>
        <w:jc w:val="both"/>
        <w:rPr>
          <w:sz w:val="25"/>
          <w:szCs w:val="25"/>
        </w:rPr>
      </w:pPr>
      <w:r w:rsidRPr="005B686A">
        <w:rPr>
          <w:sz w:val="25"/>
          <w:szCs w:val="25"/>
        </w:rPr>
        <w:t>Информация о капитальных вложениях  в рамках муниципальных программ муниципального образования «Город Архангельск» в разрезе разделов, подра</w:t>
      </w:r>
      <w:r>
        <w:rPr>
          <w:sz w:val="25"/>
          <w:szCs w:val="25"/>
        </w:rPr>
        <w:t>зделов приведена ниже в таблице.</w:t>
      </w:r>
    </w:p>
    <w:p w:rsidR="005B686A" w:rsidRPr="007C2D5A" w:rsidRDefault="005B686A" w:rsidP="005B686A">
      <w:pPr>
        <w:tabs>
          <w:tab w:val="left" w:pos="9639"/>
        </w:tabs>
        <w:ind w:firstLine="567"/>
        <w:contextualSpacing/>
        <w:jc w:val="center"/>
        <w:rPr>
          <w:sz w:val="16"/>
          <w:szCs w:val="16"/>
        </w:rPr>
      </w:pPr>
      <w:r w:rsidRPr="007C2D5A">
        <w:rPr>
          <w:sz w:val="16"/>
          <w:szCs w:val="16"/>
        </w:rPr>
        <w:t xml:space="preserve">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</w:t>
      </w:r>
      <w:r w:rsidR="00894430">
        <w:rPr>
          <w:sz w:val="16"/>
          <w:szCs w:val="16"/>
        </w:rPr>
        <w:t xml:space="preserve">        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тыс</w:t>
      </w:r>
      <w:proofErr w:type="gramStart"/>
      <w:r>
        <w:rPr>
          <w:sz w:val="16"/>
          <w:szCs w:val="16"/>
        </w:rPr>
        <w:t>.р</w:t>
      </w:r>
      <w:proofErr w:type="gramEnd"/>
      <w:r>
        <w:rPr>
          <w:sz w:val="16"/>
          <w:szCs w:val="16"/>
        </w:rPr>
        <w:t>уб</w:t>
      </w:r>
      <w:proofErr w:type="spellEnd"/>
      <w:r>
        <w:rPr>
          <w:sz w:val="16"/>
          <w:szCs w:val="16"/>
        </w:rPr>
        <w:t>.)</w:t>
      </w:r>
      <w:r w:rsidRPr="007C2D5A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</w:t>
      </w:r>
      <w:r w:rsidRPr="007C2D5A">
        <w:rPr>
          <w:sz w:val="16"/>
          <w:szCs w:val="16"/>
        </w:rPr>
        <w:t xml:space="preserve"> </w:t>
      </w:r>
    </w:p>
    <w:tbl>
      <w:tblPr>
        <w:tblStyle w:val="a7"/>
        <w:tblW w:w="988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497"/>
        <w:gridCol w:w="425"/>
        <w:gridCol w:w="426"/>
        <w:gridCol w:w="1275"/>
        <w:gridCol w:w="992"/>
        <w:gridCol w:w="1134"/>
        <w:gridCol w:w="1134"/>
      </w:tblGrid>
      <w:tr w:rsidR="005B686A" w:rsidRPr="00AD2EC5" w:rsidTr="00AD2EC5">
        <w:trPr>
          <w:trHeight w:val="221"/>
        </w:trPr>
        <w:tc>
          <w:tcPr>
            <w:tcW w:w="4497" w:type="dxa"/>
            <w:vMerge w:val="restart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D2EC5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6" w:type="dxa"/>
            <w:vMerge w:val="restart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D2EC5">
              <w:rPr>
                <w:color w:val="000000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vAlign w:val="center"/>
            <w:hideMark/>
          </w:tcPr>
          <w:p w:rsid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D2EC5">
              <w:rPr>
                <w:color w:val="000000"/>
                <w:sz w:val="18"/>
                <w:szCs w:val="18"/>
              </w:rPr>
              <w:t xml:space="preserve">Решение о городском бюджете на 2017 год (ред. от 25.10.2017 </w:t>
            </w:r>
            <w:proofErr w:type="gramEnd"/>
          </w:p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№ 583)</w:t>
            </w:r>
          </w:p>
        </w:tc>
        <w:tc>
          <w:tcPr>
            <w:tcW w:w="3260" w:type="dxa"/>
            <w:gridSpan w:val="3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Проект бюджета</w:t>
            </w:r>
          </w:p>
        </w:tc>
      </w:tr>
      <w:tr w:rsidR="005B686A" w:rsidRPr="00AD2EC5" w:rsidTr="00AD2EC5">
        <w:trPr>
          <w:trHeight w:val="255"/>
        </w:trPr>
        <w:tc>
          <w:tcPr>
            <w:tcW w:w="4497" w:type="dxa"/>
            <w:vMerge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:rsidR="005B686A" w:rsidRPr="00AD2EC5" w:rsidRDefault="005B686A" w:rsidP="00AD2EC5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AD2EC5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5B686A" w:rsidRPr="00AD2EC5" w:rsidTr="00894430">
        <w:trPr>
          <w:trHeight w:val="227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МП "Развитие города Архангельска как административного центра Архангельской области"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329 621,0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330 929,4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left="-108" w:right="-108"/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370 772,6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left="-108"/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294 689,3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04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08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157 500,0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157 500,0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165 000,0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99 847,0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04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09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40 320,0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30 114,1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45 134,0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05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7 980,0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3 200,0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3 663,7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538,3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05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73 587,4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60 000,0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49 170,0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Дошкольное образование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07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01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49 533,6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64 755,3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150 628,9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100 000,0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Общее образование</w:t>
            </w:r>
          </w:p>
        </w:tc>
        <w:tc>
          <w:tcPr>
            <w:tcW w:w="42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07</w:t>
            </w:r>
          </w:p>
        </w:tc>
        <w:tc>
          <w:tcPr>
            <w:tcW w:w="426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700,0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15 360,0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51 480,0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5B686A" w:rsidRPr="00AD2EC5" w:rsidTr="00894430">
        <w:trPr>
          <w:trHeight w:val="169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55 673,0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40 838,0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42 900,6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83 735,9</w:t>
            </w:r>
          </w:p>
        </w:tc>
      </w:tr>
      <w:tr w:rsidR="005B686A" w:rsidRPr="00AD2EC5" w:rsidTr="00894430">
        <w:trPr>
          <w:trHeight w:val="293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Подпрограмма "Капитальные вложения в объекты муниципальной собственности муниципального образования "Город Архангельск"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55 673,0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40 838,0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42 900,6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83 735,9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05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02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8 669,0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5 500,0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05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03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47 004,0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31 938,0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27 900,6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83 735,9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426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05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3 400,0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15 000,0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5B686A" w:rsidRPr="00AD2EC5" w:rsidTr="00894430">
        <w:trPr>
          <w:trHeight w:val="64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36 482,4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38 505,9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20 487,2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43 032,6</w:t>
            </w:r>
          </w:p>
        </w:tc>
      </w:tr>
      <w:tr w:rsidR="005B686A" w:rsidRPr="00AD2EC5" w:rsidTr="00894430">
        <w:trPr>
          <w:trHeight w:val="594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36 482,4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38 505,9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20 487,2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43 032,6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04</w:t>
            </w: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36 482,4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38 505,9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20 487,2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D2EC5">
              <w:rPr>
                <w:color w:val="000000"/>
                <w:sz w:val="19"/>
                <w:szCs w:val="19"/>
              </w:rPr>
              <w:t>43 032,6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  <w:hideMark/>
          </w:tcPr>
          <w:p w:rsidR="005B686A" w:rsidRPr="00AD2EC5" w:rsidRDefault="005B686A" w:rsidP="00053662">
            <w:pPr>
              <w:contextualSpacing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425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  <w:hideMark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ind w:left="-108" w:right="-108"/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421 776,4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410 273,3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left="-108" w:right="-108"/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434 160,4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right="-108"/>
              <w:contextualSpacing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D2EC5">
              <w:rPr>
                <w:b/>
                <w:bCs/>
                <w:color w:val="000000"/>
                <w:sz w:val="19"/>
                <w:szCs w:val="19"/>
              </w:rPr>
              <w:t>421 457,8</w:t>
            </w:r>
          </w:p>
        </w:tc>
      </w:tr>
      <w:tr w:rsidR="005B686A" w:rsidRPr="00AD2EC5" w:rsidTr="00894430">
        <w:trPr>
          <w:trHeight w:val="300"/>
        </w:trPr>
        <w:tc>
          <w:tcPr>
            <w:tcW w:w="4497" w:type="dxa"/>
            <w:vAlign w:val="center"/>
          </w:tcPr>
          <w:p w:rsidR="005B686A" w:rsidRPr="00AD2EC5" w:rsidRDefault="005B686A" w:rsidP="00053662">
            <w:pPr>
              <w:contextualSpacing/>
              <w:rPr>
                <w:bCs/>
                <w:color w:val="000000"/>
                <w:sz w:val="19"/>
                <w:szCs w:val="19"/>
              </w:rPr>
            </w:pPr>
            <w:r w:rsidRPr="00AD2EC5">
              <w:rPr>
                <w:bCs/>
                <w:color w:val="000000"/>
                <w:sz w:val="19"/>
                <w:szCs w:val="19"/>
              </w:rPr>
              <w:t>Процент капитальных вложений в общих расходах бюджета</w:t>
            </w:r>
          </w:p>
        </w:tc>
        <w:tc>
          <w:tcPr>
            <w:tcW w:w="425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5B686A" w:rsidRPr="00AD2EC5" w:rsidRDefault="005B686A" w:rsidP="00053662">
            <w:pPr>
              <w:ind w:left="-108" w:right="-108"/>
              <w:contextualSpacing/>
              <w:jc w:val="center"/>
              <w:rPr>
                <w:bCs/>
                <w:color w:val="000000"/>
                <w:sz w:val="19"/>
                <w:szCs w:val="19"/>
              </w:rPr>
            </w:pPr>
            <w:r w:rsidRPr="00AD2EC5">
              <w:rPr>
                <w:bCs/>
                <w:color w:val="000000"/>
                <w:sz w:val="19"/>
                <w:szCs w:val="19"/>
              </w:rPr>
              <w:t>5,4</w:t>
            </w:r>
          </w:p>
        </w:tc>
        <w:tc>
          <w:tcPr>
            <w:tcW w:w="992" w:type="dxa"/>
            <w:vAlign w:val="center"/>
          </w:tcPr>
          <w:p w:rsidR="005B686A" w:rsidRPr="00AD2EC5" w:rsidRDefault="005B686A" w:rsidP="00053662">
            <w:pPr>
              <w:contextualSpacing/>
              <w:jc w:val="center"/>
              <w:rPr>
                <w:bCs/>
                <w:color w:val="000000"/>
                <w:sz w:val="19"/>
                <w:szCs w:val="19"/>
              </w:rPr>
            </w:pPr>
            <w:r w:rsidRPr="00AD2EC5">
              <w:rPr>
                <w:bCs/>
                <w:color w:val="000000"/>
                <w:sz w:val="19"/>
                <w:szCs w:val="19"/>
              </w:rPr>
              <w:t>5,0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left="-108" w:right="-108"/>
              <w:contextualSpacing/>
              <w:jc w:val="center"/>
              <w:rPr>
                <w:bCs/>
                <w:color w:val="000000"/>
                <w:sz w:val="19"/>
                <w:szCs w:val="19"/>
              </w:rPr>
            </w:pPr>
            <w:r w:rsidRPr="00AD2EC5">
              <w:rPr>
                <w:bCs/>
                <w:color w:val="000000"/>
                <w:sz w:val="19"/>
                <w:szCs w:val="19"/>
              </w:rPr>
              <w:t>5,3</w:t>
            </w:r>
          </w:p>
        </w:tc>
        <w:tc>
          <w:tcPr>
            <w:tcW w:w="1134" w:type="dxa"/>
            <w:vAlign w:val="center"/>
          </w:tcPr>
          <w:p w:rsidR="005B686A" w:rsidRPr="00AD2EC5" w:rsidRDefault="005B686A" w:rsidP="00053662">
            <w:pPr>
              <w:ind w:right="-108"/>
              <w:contextualSpacing/>
              <w:jc w:val="center"/>
              <w:rPr>
                <w:bCs/>
                <w:color w:val="000000"/>
                <w:sz w:val="19"/>
                <w:szCs w:val="19"/>
              </w:rPr>
            </w:pPr>
            <w:r w:rsidRPr="00AD2EC5">
              <w:rPr>
                <w:bCs/>
                <w:color w:val="000000"/>
                <w:sz w:val="19"/>
                <w:szCs w:val="19"/>
              </w:rPr>
              <w:t>5,2</w:t>
            </w:r>
          </w:p>
        </w:tc>
      </w:tr>
    </w:tbl>
    <w:p w:rsidR="005B686A" w:rsidRPr="007C2D5A" w:rsidRDefault="005B686A" w:rsidP="005B686A">
      <w:pPr>
        <w:contextualSpacing/>
        <w:jc w:val="both"/>
        <w:rPr>
          <w:color w:val="000000" w:themeColor="text1"/>
          <w:sz w:val="25"/>
          <w:szCs w:val="25"/>
        </w:rPr>
      </w:pPr>
    </w:p>
    <w:p w:rsidR="005B686A" w:rsidRPr="00AD2EC5" w:rsidRDefault="005B686A" w:rsidP="005B686A">
      <w:pPr>
        <w:ind w:firstLine="567"/>
        <w:contextualSpacing/>
        <w:jc w:val="both"/>
        <w:rPr>
          <w:color w:val="000000" w:themeColor="text1"/>
          <w:sz w:val="25"/>
          <w:szCs w:val="25"/>
        </w:rPr>
      </w:pPr>
      <w:r w:rsidRPr="00AD2EC5">
        <w:rPr>
          <w:color w:val="000000" w:themeColor="text1"/>
          <w:sz w:val="25"/>
          <w:szCs w:val="25"/>
        </w:rPr>
        <w:t>Основная доля бюджетных ассигнований на осуществление капитальных вложений  в объекты муниципальной собственности муниципального образования «Город Архангельск»</w:t>
      </w:r>
      <w:r w:rsidRPr="00AD2EC5">
        <w:rPr>
          <w:b/>
          <w:i/>
          <w:color w:val="000000" w:themeColor="text1"/>
          <w:sz w:val="25"/>
          <w:szCs w:val="25"/>
        </w:rPr>
        <w:t xml:space="preserve"> </w:t>
      </w:r>
      <w:r w:rsidRPr="00AD2EC5">
        <w:rPr>
          <w:color w:val="000000" w:themeColor="text1"/>
          <w:sz w:val="25"/>
          <w:szCs w:val="25"/>
        </w:rPr>
        <w:t>на 2018 год запланирована по подразделу 0408 «Транспорт» (38,4%), по подразделу 0503 «Благоустройство» (22,4%) и подразделу 0701 «Дошкольное образование» (15,7%).</w:t>
      </w:r>
    </w:p>
    <w:p w:rsidR="005B686A" w:rsidRPr="00AD2EC5" w:rsidRDefault="005B686A" w:rsidP="005B686A">
      <w:pPr>
        <w:ind w:firstLine="567"/>
        <w:contextualSpacing/>
        <w:jc w:val="both"/>
        <w:rPr>
          <w:sz w:val="25"/>
          <w:szCs w:val="25"/>
        </w:rPr>
      </w:pPr>
      <w:r w:rsidRPr="00AD2EC5">
        <w:rPr>
          <w:sz w:val="25"/>
          <w:szCs w:val="25"/>
        </w:rPr>
        <w:t xml:space="preserve">По сравнению с 2017 годом капитальные вложения в объекты муниципальной собственности муниципального образования «Город Архангельск» на 2018 - 2020 годы запланированы со снижением в  2018 и 2020 годах  на 11 503,1 </w:t>
      </w:r>
      <w:proofErr w:type="spellStart"/>
      <w:r w:rsidRPr="00AD2EC5">
        <w:rPr>
          <w:sz w:val="25"/>
          <w:szCs w:val="25"/>
        </w:rPr>
        <w:t>тыс</w:t>
      </w:r>
      <w:proofErr w:type="gramStart"/>
      <w:r w:rsidRPr="00AD2EC5">
        <w:rPr>
          <w:sz w:val="25"/>
          <w:szCs w:val="25"/>
        </w:rPr>
        <w:t>.р</w:t>
      </w:r>
      <w:proofErr w:type="gramEnd"/>
      <w:r w:rsidRPr="00AD2EC5">
        <w:rPr>
          <w:sz w:val="25"/>
          <w:szCs w:val="25"/>
        </w:rPr>
        <w:t>уб</w:t>
      </w:r>
      <w:proofErr w:type="spellEnd"/>
      <w:r w:rsidRPr="00AD2EC5">
        <w:rPr>
          <w:sz w:val="25"/>
          <w:szCs w:val="25"/>
        </w:rPr>
        <w:t xml:space="preserve">. и на 318,6 </w:t>
      </w:r>
      <w:proofErr w:type="spellStart"/>
      <w:r w:rsidRPr="00AD2EC5">
        <w:rPr>
          <w:sz w:val="25"/>
          <w:szCs w:val="25"/>
        </w:rPr>
        <w:t>тыс.руб</w:t>
      </w:r>
      <w:proofErr w:type="spellEnd"/>
      <w:r w:rsidRPr="00AD2EC5">
        <w:rPr>
          <w:sz w:val="25"/>
          <w:szCs w:val="25"/>
        </w:rPr>
        <w:t xml:space="preserve">. соответственно,  в 2019 году капитальные вложения в объекты муниципальной собственности запланированы с увеличением на 12 384,0 </w:t>
      </w:r>
      <w:proofErr w:type="spellStart"/>
      <w:r w:rsidRPr="00AD2EC5">
        <w:rPr>
          <w:sz w:val="25"/>
          <w:szCs w:val="25"/>
        </w:rPr>
        <w:t>тыс.руб</w:t>
      </w:r>
      <w:proofErr w:type="spellEnd"/>
      <w:r w:rsidRPr="00AD2EC5">
        <w:rPr>
          <w:sz w:val="25"/>
          <w:szCs w:val="25"/>
        </w:rPr>
        <w:t>., в основном за счет увеличения бюджетных ассигнований по подразделам  0701 «Дошкольное образование»,  0702 «Общее образование» в рамках муниципальной программы «Развитие города Архангельска как административного центра» и  по подразделу 1105 «Другие вопросы в области физической культуры» подпрограммы «Капитальные вложение в объекты муниципальной собственности муниципального образования «Город Архангельск».</w:t>
      </w:r>
    </w:p>
    <w:p w:rsidR="005B686A" w:rsidRPr="00AD2EC5" w:rsidRDefault="005B686A" w:rsidP="005B686A">
      <w:pPr>
        <w:ind w:firstLine="567"/>
        <w:contextualSpacing/>
        <w:jc w:val="both"/>
        <w:rPr>
          <w:sz w:val="25"/>
          <w:szCs w:val="25"/>
        </w:rPr>
      </w:pPr>
      <w:r w:rsidRPr="00AD2EC5">
        <w:rPr>
          <w:sz w:val="25"/>
          <w:szCs w:val="25"/>
        </w:rPr>
        <w:t xml:space="preserve">Информация о планировании капитальных вложений в объекты муниципальной собственности в разрезе разделов и подразделов  классификации расходов бюджетов в соответствии с отраслевой принадлежностью и по объектам капитальных вложений </w:t>
      </w:r>
      <w:r w:rsidR="00AD2EC5">
        <w:rPr>
          <w:sz w:val="25"/>
          <w:szCs w:val="25"/>
        </w:rPr>
        <w:t>представлена ниже в таблице.</w:t>
      </w:r>
    </w:p>
    <w:p w:rsidR="005B686A" w:rsidRPr="007C2D5A" w:rsidRDefault="005B686A" w:rsidP="005B686A">
      <w:pPr>
        <w:contextualSpacing/>
        <w:rPr>
          <w:sz w:val="16"/>
          <w:szCs w:val="16"/>
        </w:rPr>
      </w:pPr>
      <w:r w:rsidRPr="007C2D5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(</w:t>
      </w:r>
      <w:proofErr w:type="spellStart"/>
      <w:r>
        <w:rPr>
          <w:sz w:val="16"/>
          <w:szCs w:val="16"/>
        </w:rPr>
        <w:t>тыс</w:t>
      </w:r>
      <w:proofErr w:type="gramStart"/>
      <w:r>
        <w:rPr>
          <w:sz w:val="16"/>
          <w:szCs w:val="16"/>
        </w:rPr>
        <w:t>.р</w:t>
      </w:r>
      <w:proofErr w:type="gramEnd"/>
      <w:r>
        <w:rPr>
          <w:sz w:val="16"/>
          <w:szCs w:val="16"/>
        </w:rPr>
        <w:t>уб</w:t>
      </w:r>
      <w:proofErr w:type="spellEnd"/>
      <w:r>
        <w:rPr>
          <w:sz w:val="16"/>
          <w:szCs w:val="16"/>
        </w:rPr>
        <w:t>.)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709"/>
        <w:gridCol w:w="1276"/>
        <w:gridCol w:w="709"/>
        <w:gridCol w:w="1417"/>
        <w:gridCol w:w="851"/>
        <w:gridCol w:w="1417"/>
      </w:tblGrid>
      <w:tr w:rsidR="005B686A" w:rsidRPr="00AD2EC5" w:rsidTr="00AD2EC5">
        <w:trPr>
          <w:trHeight w:val="231"/>
        </w:trPr>
        <w:tc>
          <w:tcPr>
            <w:tcW w:w="426" w:type="dxa"/>
            <w:vMerge w:val="restart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№</w:t>
            </w:r>
            <w:proofErr w:type="gramStart"/>
            <w:r w:rsidRPr="00AD2EC5">
              <w:rPr>
                <w:sz w:val="19"/>
                <w:szCs w:val="19"/>
              </w:rPr>
              <w:t>п</w:t>
            </w:r>
            <w:proofErr w:type="gramEnd"/>
            <w:r w:rsidRPr="00AD2EC5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1985" w:type="dxa"/>
            <w:gridSpan w:val="2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2018</w:t>
            </w:r>
            <w:r w:rsidR="00AD2EC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126" w:type="dxa"/>
            <w:gridSpan w:val="2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2019</w:t>
            </w:r>
            <w:r w:rsidR="00AD2EC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2020</w:t>
            </w:r>
            <w:r w:rsidR="00AD2EC5">
              <w:rPr>
                <w:sz w:val="19"/>
                <w:szCs w:val="19"/>
              </w:rPr>
              <w:t xml:space="preserve"> год</w:t>
            </w:r>
          </w:p>
        </w:tc>
      </w:tr>
      <w:tr w:rsidR="005B686A" w:rsidRPr="00AD2EC5" w:rsidTr="00AD2EC5">
        <w:trPr>
          <w:trHeight w:val="476"/>
        </w:trPr>
        <w:tc>
          <w:tcPr>
            <w:tcW w:w="426" w:type="dxa"/>
            <w:vMerge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Кол-во</w:t>
            </w:r>
          </w:p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объектов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Объем бюджетных ассигнований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Кол-во</w:t>
            </w:r>
          </w:p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объектов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Объем бюджетных ассигнований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Кол-во</w:t>
            </w:r>
          </w:p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объектов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Объем бюджетных ассигнований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91 938,0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27 900,6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132 905,9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Коммунальное хозяйство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8 700,0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3663,7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538,3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157 500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165 000,0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99 847,0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4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Дорожное</w:t>
            </w:r>
            <w:r w:rsidR="00B875F4">
              <w:rPr>
                <w:sz w:val="19"/>
                <w:szCs w:val="19"/>
              </w:rPr>
              <w:t xml:space="preserve"> </w:t>
            </w:r>
            <w:r w:rsidRPr="00AD2EC5">
              <w:rPr>
                <w:sz w:val="19"/>
                <w:szCs w:val="19"/>
              </w:rPr>
              <w:t xml:space="preserve"> хозяйство (дорожные фонды)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30 114,1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45 134,0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5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64 755,3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150 628,9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100 000,0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6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15 360,0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51 480,0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7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38 505,9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20 487,2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43 032,6</w:t>
            </w:r>
          </w:p>
        </w:tc>
      </w:tr>
      <w:tr w:rsidR="005B686A" w:rsidRPr="00AD2EC5" w:rsidTr="00AD2EC5"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8</w:t>
            </w:r>
          </w:p>
        </w:tc>
        <w:tc>
          <w:tcPr>
            <w:tcW w:w="2976" w:type="dxa"/>
            <w:vAlign w:val="center"/>
          </w:tcPr>
          <w:p w:rsidR="005B686A" w:rsidRPr="00AD2EC5" w:rsidRDefault="005B686A" w:rsidP="00AD2EC5">
            <w:pPr>
              <w:contextualSpacing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3 400,00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15 000,0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sz w:val="19"/>
                <w:szCs w:val="19"/>
              </w:rPr>
            </w:pPr>
            <w:r w:rsidRPr="00AD2EC5">
              <w:rPr>
                <w:sz w:val="19"/>
                <w:szCs w:val="19"/>
              </w:rPr>
              <w:t>-</w:t>
            </w:r>
          </w:p>
        </w:tc>
      </w:tr>
      <w:tr w:rsidR="005B686A" w:rsidRPr="00AD2EC5" w:rsidTr="00AD2EC5">
        <w:trPr>
          <w:trHeight w:val="225"/>
        </w:trPr>
        <w:tc>
          <w:tcPr>
            <w:tcW w:w="42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2976" w:type="dxa"/>
            <w:vAlign w:val="center"/>
          </w:tcPr>
          <w:p w:rsidR="005B686A" w:rsidRPr="00AD2EC5" w:rsidRDefault="00AD2EC5" w:rsidP="00AD2EC5">
            <w:pPr>
              <w:contextualSpacing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Итого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1276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410 273,3</w:t>
            </w:r>
          </w:p>
        </w:tc>
        <w:tc>
          <w:tcPr>
            <w:tcW w:w="709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434 160,4</w:t>
            </w:r>
          </w:p>
        </w:tc>
        <w:tc>
          <w:tcPr>
            <w:tcW w:w="851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1417" w:type="dxa"/>
            <w:vAlign w:val="center"/>
          </w:tcPr>
          <w:p w:rsidR="005B686A" w:rsidRPr="00AD2EC5" w:rsidRDefault="005B686A" w:rsidP="00AD2EC5">
            <w:pPr>
              <w:contextualSpacing/>
              <w:jc w:val="center"/>
              <w:rPr>
                <w:b/>
                <w:sz w:val="19"/>
                <w:szCs w:val="19"/>
              </w:rPr>
            </w:pPr>
            <w:r w:rsidRPr="00AD2EC5">
              <w:rPr>
                <w:b/>
                <w:sz w:val="19"/>
                <w:szCs w:val="19"/>
              </w:rPr>
              <w:t>421 457,8</w:t>
            </w:r>
          </w:p>
        </w:tc>
      </w:tr>
    </w:tbl>
    <w:p w:rsidR="005B686A" w:rsidRDefault="005B686A" w:rsidP="005B686A">
      <w:pPr>
        <w:ind w:firstLine="567"/>
        <w:contextualSpacing/>
        <w:jc w:val="both"/>
        <w:rPr>
          <w:sz w:val="25"/>
          <w:szCs w:val="25"/>
        </w:rPr>
      </w:pPr>
    </w:p>
    <w:p w:rsidR="005B686A" w:rsidRPr="00C57F2E" w:rsidRDefault="005B686A" w:rsidP="005B686A">
      <w:pPr>
        <w:ind w:firstLine="567"/>
        <w:contextualSpacing/>
        <w:jc w:val="both"/>
        <w:rPr>
          <w:sz w:val="25"/>
          <w:szCs w:val="25"/>
        </w:rPr>
      </w:pPr>
      <w:proofErr w:type="gramStart"/>
      <w:r w:rsidRPr="00C57F2E">
        <w:rPr>
          <w:sz w:val="25"/>
          <w:szCs w:val="25"/>
        </w:rPr>
        <w:t xml:space="preserve">По  всем объектам, включенным в проект решения о городском бюджете на  2018 год и плановый период 2019-2020 годы, получены положительные заключения об эффективности использования средств городского бюджета, направляемых на капитальные вложения, кроме объекта «Строительство кладбища в деревни </w:t>
      </w:r>
      <w:proofErr w:type="spellStart"/>
      <w:r w:rsidRPr="00C57F2E">
        <w:rPr>
          <w:sz w:val="25"/>
          <w:szCs w:val="25"/>
        </w:rPr>
        <w:t>Валдушки</w:t>
      </w:r>
      <w:proofErr w:type="spellEnd"/>
      <w:r w:rsidRPr="00C57F2E">
        <w:rPr>
          <w:sz w:val="25"/>
          <w:szCs w:val="25"/>
        </w:rPr>
        <w:t>», что соответствует пункту 2 Постановления мэрии г. Архангельска от 28.05.2014 № 436 (ред. от 23.11.2016) «Об утверждении Правил проведения проверки инвестиционных проектов на</w:t>
      </w:r>
      <w:proofErr w:type="gramEnd"/>
      <w:r w:rsidRPr="00C57F2E">
        <w:rPr>
          <w:sz w:val="25"/>
          <w:szCs w:val="25"/>
        </w:rPr>
        <w:t xml:space="preserve"> предмет эффективности использования средств городского бюджета, направляемых на капитальные вложения». </w:t>
      </w:r>
    </w:p>
    <w:p w:rsidR="005B686A" w:rsidRPr="00C57F2E" w:rsidRDefault="005B686A" w:rsidP="005B686A">
      <w:pPr>
        <w:ind w:firstLine="567"/>
        <w:contextualSpacing/>
        <w:jc w:val="both"/>
        <w:rPr>
          <w:sz w:val="25"/>
          <w:szCs w:val="25"/>
        </w:rPr>
      </w:pPr>
      <w:proofErr w:type="gramStart"/>
      <w:r w:rsidRPr="00C57F2E">
        <w:rPr>
          <w:sz w:val="25"/>
          <w:szCs w:val="25"/>
        </w:rPr>
        <w:t>В соответствии с городск</w:t>
      </w:r>
      <w:r w:rsidR="00AD2EC5" w:rsidRPr="00C57F2E">
        <w:rPr>
          <w:sz w:val="25"/>
          <w:szCs w:val="25"/>
        </w:rPr>
        <w:t>и</w:t>
      </w:r>
      <w:r w:rsidRPr="00C57F2E">
        <w:rPr>
          <w:sz w:val="25"/>
          <w:szCs w:val="25"/>
        </w:rPr>
        <w:t xml:space="preserve">ми адресными инвестиционными программами </w:t>
      </w:r>
      <w:r w:rsidR="00AD2EC5" w:rsidRPr="00C57F2E">
        <w:rPr>
          <w:sz w:val="25"/>
          <w:szCs w:val="25"/>
        </w:rPr>
        <w:t xml:space="preserve">на 2012 год, на 2013 год, на  2014-2016 годы, 2015-2017 годы, утвержденными  </w:t>
      </w:r>
      <w:r w:rsidRPr="00C57F2E">
        <w:rPr>
          <w:sz w:val="25"/>
          <w:szCs w:val="25"/>
        </w:rPr>
        <w:t>распоряжением заместителем мэра по вопросам экономического развития и финансам от 01.02.2012 № 191р (ред.28.12.2012), распоряжениями заместителя мэра города по городскому хозяйству от 17.01.2013 № 64р (ред.31.12.2013), от 09.01.2014 №4р (ред.31.12.2014)</w:t>
      </w:r>
      <w:r w:rsidR="00AD2EC5" w:rsidRPr="00C57F2E">
        <w:rPr>
          <w:sz w:val="25"/>
          <w:szCs w:val="25"/>
        </w:rPr>
        <w:t xml:space="preserve">, </w:t>
      </w:r>
      <w:r w:rsidRPr="00C57F2E">
        <w:rPr>
          <w:sz w:val="25"/>
          <w:szCs w:val="25"/>
        </w:rPr>
        <w:t xml:space="preserve">от 19.01.2015 № 48р (ред.29.12.2015) </w:t>
      </w:r>
      <w:r w:rsidR="00AD2EC5" w:rsidRPr="00C57F2E">
        <w:rPr>
          <w:sz w:val="25"/>
          <w:szCs w:val="25"/>
        </w:rPr>
        <w:t xml:space="preserve">соответственно, </w:t>
      </w:r>
      <w:r w:rsidRPr="00C57F2E">
        <w:rPr>
          <w:sz w:val="25"/>
          <w:szCs w:val="25"/>
        </w:rPr>
        <w:t>предусмотрен объем  бюджетных ассигнований</w:t>
      </w:r>
      <w:proofErr w:type="gramEnd"/>
      <w:r w:rsidRPr="00C57F2E">
        <w:rPr>
          <w:sz w:val="25"/>
          <w:szCs w:val="25"/>
        </w:rPr>
        <w:t xml:space="preserve"> городского бюджета в общей сумме 5 009,0 </w:t>
      </w:r>
      <w:proofErr w:type="spellStart"/>
      <w:r w:rsidRPr="00C57F2E">
        <w:rPr>
          <w:sz w:val="25"/>
          <w:szCs w:val="25"/>
        </w:rPr>
        <w:t>тыс.руб</w:t>
      </w:r>
      <w:proofErr w:type="spellEnd"/>
      <w:r w:rsidRPr="00C57F2E">
        <w:rPr>
          <w:sz w:val="25"/>
          <w:szCs w:val="25"/>
        </w:rPr>
        <w:t xml:space="preserve">. на разработку проектной документации на реконструкцию </w:t>
      </w:r>
      <w:proofErr w:type="spellStart"/>
      <w:r w:rsidRPr="00C57F2E">
        <w:rPr>
          <w:sz w:val="25"/>
          <w:szCs w:val="25"/>
        </w:rPr>
        <w:t>пр</w:t>
      </w:r>
      <w:proofErr w:type="gramStart"/>
      <w:r w:rsidRPr="00C57F2E">
        <w:rPr>
          <w:sz w:val="25"/>
          <w:szCs w:val="25"/>
        </w:rPr>
        <w:t>.О</w:t>
      </w:r>
      <w:proofErr w:type="gramEnd"/>
      <w:r w:rsidRPr="00C57F2E">
        <w:rPr>
          <w:sz w:val="25"/>
          <w:szCs w:val="25"/>
        </w:rPr>
        <w:t>бводного</w:t>
      </w:r>
      <w:proofErr w:type="spellEnd"/>
      <w:r w:rsidRPr="00C57F2E">
        <w:rPr>
          <w:sz w:val="25"/>
          <w:szCs w:val="25"/>
        </w:rPr>
        <w:t xml:space="preserve"> канал от </w:t>
      </w:r>
      <w:proofErr w:type="spellStart"/>
      <w:r w:rsidRPr="00C57F2E">
        <w:rPr>
          <w:sz w:val="25"/>
          <w:szCs w:val="25"/>
        </w:rPr>
        <w:t>ул.Шабалина</w:t>
      </w:r>
      <w:proofErr w:type="spellEnd"/>
      <w:r w:rsidRPr="00C57F2E">
        <w:rPr>
          <w:sz w:val="25"/>
          <w:szCs w:val="25"/>
        </w:rPr>
        <w:t xml:space="preserve"> до </w:t>
      </w:r>
      <w:proofErr w:type="spellStart"/>
      <w:r w:rsidRPr="00C57F2E">
        <w:rPr>
          <w:sz w:val="25"/>
          <w:szCs w:val="25"/>
        </w:rPr>
        <w:t>ул.Смольный</w:t>
      </w:r>
      <w:proofErr w:type="spellEnd"/>
      <w:r w:rsidRPr="00C57F2E">
        <w:rPr>
          <w:sz w:val="25"/>
          <w:szCs w:val="25"/>
        </w:rPr>
        <w:t xml:space="preserve"> Буян</w:t>
      </w:r>
      <w:r w:rsidR="00C57F2E" w:rsidRPr="00C57F2E">
        <w:rPr>
          <w:sz w:val="25"/>
          <w:szCs w:val="25"/>
        </w:rPr>
        <w:t>, п</w:t>
      </w:r>
      <w:r w:rsidRPr="00C57F2E">
        <w:rPr>
          <w:sz w:val="25"/>
          <w:szCs w:val="25"/>
        </w:rPr>
        <w:t xml:space="preserve">ри  этом дальнейшее финансирование работ по данному объекту капитальных </w:t>
      </w:r>
      <w:r w:rsidRPr="00C57F2E">
        <w:rPr>
          <w:sz w:val="25"/>
          <w:szCs w:val="25"/>
        </w:rPr>
        <w:lastRenderedPageBreak/>
        <w:t xml:space="preserve">вложений в решениях о городском бюджете на 2016 - 2020 годы не предусмотрено. В 2013 - 2015 году за счет средств городского бюджета осуществлено финансирование разработки проектной документации на общую сумму 570,7 </w:t>
      </w:r>
      <w:proofErr w:type="spellStart"/>
      <w:r w:rsidRPr="00C57F2E">
        <w:rPr>
          <w:sz w:val="25"/>
          <w:szCs w:val="25"/>
        </w:rPr>
        <w:t>тыс</w:t>
      </w:r>
      <w:proofErr w:type="gramStart"/>
      <w:r w:rsidRPr="00C57F2E">
        <w:rPr>
          <w:sz w:val="25"/>
          <w:szCs w:val="25"/>
        </w:rPr>
        <w:t>.р</w:t>
      </w:r>
      <w:proofErr w:type="gramEnd"/>
      <w:r w:rsidRPr="00C57F2E">
        <w:rPr>
          <w:sz w:val="25"/>
          <w:szCs w:val="25"/>
        </w:rPr>
        <w:t>уб</w:t>
      </w:r>
      <w:proofErr w:type="spellEnd"/>
      <w:r w:rsidR="00C57F2E" w:rsidRPr="00C57F2E">
        <w:rPr>
          <w:sz w:val="25"/>
          <w:szCs w:val="25"/>
        </w:rPr>
        <w:t>.</w:t>
      </w:r>
    </w:p>
    <w:p w:rsidR="005B686A" w:rsidRPr="00CC6F9F" w:rsidRDefault="005B686A" w:rsidP="005B686A">
      <w:pPr>
        <w:ind w:firstLine="567"/>
        <w:contextualSpacing/>
        <w:jc w:val="both"/>
        <w:rPr>
          <w:sz w:val="25"/>
          <w:szCs w:val="25"/>
        </w:rPr>
      </w:pPr>
      <w:proofErr w:type="gramStart"/>
      <w:r w:rsidRPr="00CC6F9F">
        <w:rPr>
          <w:sz w:val="25"/>
          <w:szCs w:val="25"/>
        </w:rPr>
        <w:t>Перечнем объектов муниципальной собственности муниципального образования «Город Архангельск» для осуществления капитальных вложений на 2018 год и плановый период 2019 и 2020 годов (приложением № 3 к пояснительной записке  к проекту решения Архангельской городской Думы «О городском бюджете на 2018 год и на плановый период 2019 и 2020 годов) на 2018 год предусмотрены бюджетные ассигнования на финансовое обеспечение  разработки проектной документации, проведени</w:t>
      </w:r>
      <w:r w:rsidR="00CC6F9F" w:rsidRPr="00CC6F9F">
        <w:rPr>
          <w:sz w:val="25"/>
          <w:szCs w:val="25"/>
        </w:rPr>
        <w:t>е</w:t>
      </w:r>
      <w:proofErr w:type="gramEnd"/>
      <w:r w:rsidRPr="00CC6F9F">
        <w:rPr>
          <w:sz w:val="25"/>
          <w:szCs w:val="25"/>
        </w:rPr>
        <w:t xml:space="preserve"> инженерных изысканий, подготовк</w:t>
      </w:r>
      <w:r w:rsidR="00CC6F9F" w:rsidRPr="00CC6F9F">
        <w:rPr>
          <w:sz w:val="25"/>
          <w:szCs w:val="25"/>
        </w:rPr>
        <w:t>у</w:t>
      </w:r>
      <w:r w:rsidRPr="00CC6F9F">
        <w:rPr>
          <w:sz w:val="25"/>
          <w:szCs w:val="25"/>
        </w:rPr>
        <w:t xml:space="preserve"> исходно-разрешительной документации по объекту строительства модульной насосной станции в районе пересечения ул.40-летия Великой Победы и </w:t>
      </w:r>
      <w:proofErr w:type="spellStart"/>
      <w:r w:rsidRPr="00CC6F9F">
        <w:rPr>
          <w:sz w:val="25"/>
          <w:szCs w:val="25"/>
        </w:rPr>
        <w:t>ул</w:t>
      </w:r>
      <w:proofErr w:type="gramStart"/>
      <w:r w:rsidRPr="00CC6F9F">
        <w:rPr>
          <w:sz w:val="25"/>
          <w:szCs w:val="25"/>
        </w:rPr>
        <w:t>.П</w:t>
      </w:r>
      <w:proofErr w:type="gramEnd"/>
      <w:r w:rsidRPr="00CC6F9F">
        <w:rPr>
          <w:sz w:val="25"/>
          <w:szCs w:val="25"/>
        </w:rPr>
        <w:t>артизанской</w:t>
      </w:r>
      <w:proofErr w:type="spellEnd"/>
      <w:r w:rsidRPr="00CC6F9F">
        <w:rPr>
          <w:sz w:val="25"/>
          <w:szCs w:val="25"/>
        </w:rPr>
        <w:t xml:space="preserve"> на сумму 5 500,0 </w:t>
      </w:r>
      <w:proofErr w:type="spellStart"/>
      <w:r w:rsidRPr="00CC6F9F">
        <w:rPr>
          <w:sz w:val="25"/>
          <w:szCs w:val="25"/>
        </w:rPr>
        <w:t>тыс.руб</w:t>
      </w:r>
      <w:proofErr w:type="spellEnd"/>
      <w:r w:rsidRPr="00CC6F9F">
        <w:rPr>
          <w:sz w:val="25"/>
          <w:szCs w:val="25"/>
        </w:rPr>
        <w:t>. при этом в проекте решения о бюджете на 2019-2020 годы не предусмотрено дальнейшее финансирование данного объекта строительства. Несвоевременная реализация проектно-изыскатель</w:t>
      </w:r>
      <w:r w:rsidR="00CC6F9F" w:rsidRPr="00CC6F9F">
        <w:rPr>
          <w:sz w:val="25"/>
          <w:szCs w:val="25"/>
        </w:rPr>
        <w:t xml:space="preserve">ской </w:t>
      </w:r>
      <w:r w:rsidRPr="00CC6F9F">
        <w:rPr>
          <w:sz w:val="25"/>
          <w:szCs w:val="25"/>
        </w:rPr>
        <w:t>документации приведет к дополнительным расходам бюджета города, связанным с актуализацией документа.</w:t>
      </w:r>
    </w:p>
    <w:p w:rsidR="005B686A" w:rsidRPr="00CC6F9F" w:rsidRDefault="00CC6F9F" w:rsidP="005B686A">
      <w:pPr>
        <w:ind w:firstLine="567"/>
        <w:contextualSpacing/>
        <w:jc w:val="both"/>
        <w:rPr>
          <w:sz w:val="25"/>
          <w:szCs w:val="25"/>
        </w:rPr>
      </w:pPr>
      <w:r w:rsidRPr="00CC6F9F">
        <w:rPr>
          <w:sz w:val="25"/>
          <w:szCs w:val="25"/>
        </w:rPr>
        <w:t>Распределение б</w:t>
      </w:r>
      <w:r w:rsidR="005B686A" w:rsidRPr="00CC6F9F">
        <w:rPr>
          <w:sz w:val="25"/>
          <w:szCs w:val="25"/>
        </w:rPr>
        <w:t>юджетны</w:t>
      </w:r>
      <w:r w:rsidRPr="00CC6F9F">
        <w:rPr>
          <w:sz w:val="25"/>
          <w:szCs w:val="25"/>
        </w:rPr>
        <w:t>х</w:t>
      </w:r>
      <w:r w:rsidR="005B686A" w:rsidRPr="00CC6F9F">
        <w:rPr>
          <w:sz w:val="25"/>
          <w:szCs w:val="25"/>
        </w:rPr>
        <w:t xml:space="preserve"> ассигновани</w:t>
      </w:r>
      <w:r w:rsidRPr="00CC6F9F">
        <w:rPr>
          <w:sz w:val="25"/>
          <w:szCs w:val="25"/>
        </w:rPr>
        <w:t>й</w:t>
      </w:r>
      <w:r w:rsidR="005B686A" w:rsidRPr="00CC6F9F">
        <w:rPr>
          <w:sz w:val="25"/>
          <w:szCs w:val="25"/>
        </w:rPr>
        <w:t xml:space="preserve"> на осуществление </w:t>
      </w:r>
      <w:r w:rsidRPr="00CC6F9F">
        <w:rPr>
          <w:sz w:val="25"/>
          <w:szCs w:val="25"/>
        </w:rPr>
        <w:t>капитальных вложений в объекты муниципальной собственности муниципального образования «Город Архангельск»</w:t>
      </w:r>
      <w:r w:rsidR="005B686A" w:rsidRPr="00CC6F9F">
        <w:rPr>
          <w:sz w:val="25"/>
          <w:szCs w:val="25"/>
        </w:rPr>
        <w:t xml:space="preserve">, </w:t>
      </w:r>
      <w:proofErr w:type="spellStart"/>
      <w:r w:rsidR="005B686A" w:rsidRPr="00CC6F9F">
        <w:rPr>
          <w:sz w:val="25"/>
          <w:szCs w:val="25"/>
        </w:rPr>
        <w:t>софинансирование</w:t>
      </w:r>
      <w:proofErr w:type="spellEnd"/>
      <w:r w:rsidR="005B686A" w:rsidRPr="00CC6F9F">
        <w:rPr>
          <w:sz w:val="25"/>
          <w:szCs w:val="25"/>
        </w:rPr>
        <w:t xml:space="preserve"> которых осуществляется за счет межбюджетных субсидий из областного бюджета, </w:t>
      </w:r>
      <w:r w:rsidRPr="00CC6F9F">
        <w:rPr>
          <w:sz w:val="25"/>
          <w:szCs w:val="25"/>
        </w:rPr>
        <w:t xml:space="preserve">на 2018- 2020 годы </w:t>
      </w:r>
      <w:r w:rsidR="005B686A" w:rsidRPr="00CC6F9F">
        <w:rPr>
          <w:sz w:val="25"/>
          <w:szCs w:val="25"/>
        </w:rPr>
        <w:t xml:space="preserve">представлены в приложении № </w:t>
      </w:r>
      <w:r w:rsidRPr="00CC6F9F">
        <w:rPr>
          <w:sz w:val="25"/>
          <w:szCs w:val="25"/>
        </w:rPr>
        <w:t xml:space="preserve">6 </w:t>
      </w:r>
      <w:r w:rsidR="005B686A" w:rsidRPr="00CC6F9F">
        <w:rPr>
          <w:sz w:val="25"/>
          <w:szCs w:val="25"/>
        </w:rPr>
        <w:t>к проекту решения раздельно по каждому объекту, что соответствует требованиям п.3 статьи 79.1 БК РФ.</w:t>
      </w:r>
    </w:p>
    <w:p w:rsidR="003E0ABD" w:rsidRDefault="003E0ABD" w:rsidP="00EE4576">
      <w:pPr>
        <w:ind w:firstLine="567"/>
        <w:jc w:val="both"/>
        <w:rPr>
          <w:sz w:val="20"/>
          <w:szCs w:val="20"/>
        </w:rPr>
      </w:pPr>
    </w:p>
    <w:p w:rsidR="00402789" w:rsidRPr="00CE6101" w:rsidRDefault="00402789" w:rsidP="004576EB">
      <w:pPr>
        <w:pStyle w:val="a6"/>
        <w:numPr>
          <w:ilvl w:val="0"/>
          <w:numId w:val="12"/>
        </w:numPr>
        <w:spacing w:before="120" w:after="120"/>
        <w:jc w:val="center"/>
        <w:rPr>
          <w:b/>
          <w:sz w:val="25"/>
          <w:szCs w:val="25"/>
        </w:rPr>
      </w:pPr>
      <w:r w:rsidRPr="00CE6101">
        <w:rPr>
          <w:b/>
          <w:sz w:val="25"/>
          <w:szCs w:val="25"/>
        </w:rPr>
        <w:t xml:space="preserve">Муниципальный </w:t>
      </w:r>
      <w:r w:rsidR="00613D1E" w:rsidRPr="00CE6101">
        <w:rPr>
          <w:b/>
          <w:sz w:val="25"/>
          <w:szCs w:val="25"/>
        </w:rPr>
        <w:t xml:space="preserve">внутренний </w:t>
      </w:r>
      <w:r w:rsidRPr="00CE6101">
        <w:rPr>
          <w:b/>
          <w:sz w:val="25"/>
          <w:szCs w:val="25"/>
        </w:rPr>
        <w:t>долг</w:t>
      </w:r>
    </w:p>
    <w:p w:rsidR="00D9348B" w:rsidRPr="00CE6101" w:rsidRDefault="00137A36" w:rsidP="00BE184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E6101">
        <w:rPr>
          <w:sz w:val="25"/>
          <w:szCs w:val="25"/>
          <w:u w:val="single"/>
        </w:rPr>
        <w:t>В</w:t>
      </w:r>
      <w:r w:rsidR="00BD2717" w:rsidRPr="00CE6101">
        <w:rPr>
          <w:sz w:val="25"/>
          <w:szCs w:val="25"/>
          <w:u w:val="single"/>
        </w:rPr>
        <w:t xml:space="preserve">ерхний предел </w:t>
      </w:r>
      <w:r w:rsidR="00BD2717" w:rsidRPr="00CE6101">
        <w:rPr>
          <w:sz w:val="25"/>
          <w:szCs w:val="25"/>
        </w:rPr>
        <w:t xml:space="preserve">муниципального </w:t>
      </w:r>
      <w:r w:rsidR="00613D1E" w:rsidRPr="00CE6101">
        <w:rPr>
          <w:sz w:val="25"/>
          <w:szCs w:val="25"/>
        </w:rPr>
        <w:t xml:space="preserve">внутреннего </w:t>
      </w:r>
      <w:r w:rsidR="00BD2717" w:rsidRPr="00CE6101">
        <w:rPr>
          <w:sz w:val="25"/>
          <w:szCs w:val="25"/>
        </w:rPr>
        <w:t xml:space="preserve">долга </w:t>
      </w:r>
      <w:r w:rsidR="00613D1E" w:rsidRPr="00CE6101">
        <w:rPr>
          <w:sz w:val="25"/>
          <w:szCs w:val="25"/>
        </w:rPr>
        <w:t xml:space="preserve">муниципального образования «Город Архангельск» </w:t>
      </w:r>
      <w:r w:rsidR="00873DB9" w:rsidRPr="00CE6101">
        <w:rPr>
          <w:sz w:val="25"/>
          <w:szCs w:val="25"/>
        </w:rPr>
        <w:t xml:space="preserve">установлен </w:t>
      </w:r>
      <w:r w:rsidR="00BD2717" w:rsidRPr="00CE6101">
        <w:rPr>
          <w:sz w:val="25"/>
          <w:szCs w:val="25"/>
        </w:rPr>
        <w:t>на 01.01.201</w:t>
      </w:r>
      <w:r w:rsidR="00830BA6">
        <w:rPr>
          <w:sz w:val="25"/>
          <w:szCs w:val="25"/>
        </w:rPr>
        <w:t>9</w:t>
      </w:r>
      <w:r w:rsidR="00BD2717" w:rsidRPr="00CE6101">
        <w:rPr>
          <w:sz w:val="25"/>
          <w:szCs w:val="25"/>
        </w:rPr>
        <w:t xml:space="preserve"> </w:t>
      </w:r>
      <w:r w:rsidR="00873DB9" w:rsidRPr="00CE6101">
        <w:rPr>
          <w:sz w:val="25"/>
          <w:szCs w:val="25"/>
        </w:rPr>
        <w:t xml:space="preserve">в сумме </w:t>
      </w:r>
      <w:r w:rsidRPr="00CE6101">
        <w:rPr>
          <w:sz w:val="25"/>
          <w:szCs w:val="25"/>
        </w:rPr>
        <w:t xml:space="preserve">4 </w:t>
      </w:r>
      <w:r w:rsidR="00830BA6">
        <w:rPr>
          <w:sz w:val="25"/>
          <w:szCs w:val="25"/>
        </w:rPr>
        <w:t>430</w:t>
      </w:r>
      <w:r w:rsidR="00E21A13" w:rsidRPr="00CE6101">
        <w:rPr>
          <w:sz w:val="25"/>
          <w:szCs w:val="25"/>
        </w:rPr>
        <w:t xml:space="preserve"> 000,0 </w:t>
      </w:r>
      <w:r w:rsidR="00BD2717" w:rsidRPr="00CE6101">
        <w:rPr>
          <w:sz w:val="25"/>
          <w:szCs w:val="25"/>
        </w:rPr>
        <w:t>тыс.руб., на 01.01.20</w:t>
      </w:r>
      <w:r w:rsidR="00830BA6">
        <w:rPr>
          <w:sz w:val="25"/>
          <w:szCs w:val="25"/>
        </w:rPr>
        <w:t xml:space="preserve">20 </w:t>
      </w:r>
      <w:r w:rsidR="00613D1E" w:rsidRPr="00CE6101">
        <w:rPr>
          <w:sz w:val="25"/>
          <w:szCs w:val="25"/>
        </w:rPr>
        <w:t>–</w:t>
      </w:r>
      <w:r w:rsidR="00873DB9" w:rsidRPr="00CE6101">
        <w:rPr>
          <w:sz w:val="25"/>
          <w:szCs w:val="25"/>
        </w:rPr>
        <w:t xml:space="preserve"> </w:t>
      </w:r>
      <w:r w:rsidR="00613D1E" w:rsidRPr="00CE6101">
        <w:rPr>
          <w:sz w:val="25"/>
          <w:szCs w:val="25"/>
        </w:rPr>
        <w:t xml:space="preserve">4 </w:t>
      </w:r>
      <w:r w:rsidR="00830BA6">
        <w:rPr>
          <w:sz w:val="25"/>
          <w:szCs w:val="25"/>
        </w:rPr>
        <w:t>550</w:t>
      </w:r>
      <w:r w:rsidR="00E21A13" w:rsidRPr="00CE6101">
        <w:rPr>
          <w:sz w:val="25"/>
          <w:szCs w:val="25"/>
        </w:rPr>
        <w:t xml:space="preserve"> 000,0 </w:t>
      </w:r>
      <w:r w:rsidR="00BD2717" w:rsidRPr="00CE6101">
        <w:rPr>
          <w:sz w:val="25"/>
          <w:szCs w:val="25"/>
        </w:rPr>
        <w:t>тыс.руб., на 01.01.20</w:t>
      </w:r>
      <w:r w:rsidRPr="00CE6101">
        <w:rPr>
          <w:sz w:val="25"/>
          <w:szCs w:val="25"/>
        </w:rPr>
        <w:t>2</w:t>
      </w:r>
      <w:r w:rsidR="00830BA6">
        <w:rPr>
          <w:sz w:val="25"/>
          <w:szCs w:val="25"/>
        </w:rPr>
        <w:t>1</w:t>
      </w:r>
      <w:r w:rsidR="00873DB9" w:rsidRPr="00CE6101">
        <w:rPr>
          <w:sz w:val="25"/>
          <w:szCs w:val="25"/>
        </w:rPr>
        <w:t xml:space="preserve"> </w:t>
      </w:r>
      <w:r w:rsidR="00613D1E" w:rsidRPr="00CE6101">
        <w:rPr>
          <w:sz w:val="25"/>
          <w:szCs w:val="25"/>
        </w:rPr>
        <w:t>–</w:t>
      </w:r>
      <w:r w:rsidR="00873DB9" w:rsidRPr="00CE6101">
        <w:rPr>
          <w:sz w:val="25"/>
          <w:szCs w:val="25"/>
        </w:rPr>
        <w:t xml:space="preserve"> </w:t>
      </w:r>
      <w:r w:rsidRPr="00CE6101">
        <w:rPr>
          <w:sz w:val="25"/>
          <w:szCs w:val="25"/>
        </w:rPr>
        <w:t>4 </w:t>
      </w:r>
      <w:r w:rsidR="00830BA6">
        <w:rPr>
          <w:sz w:val="25"/>
          <w:szCs w:val="25"/>
        </w:rPr>
        <w:t>660</w:t>
      </w:r>
      <w:r w:rsidR="00E21A13" w:rsidRPr="00CE6101">
        <w:rPr>
          <w:sz w:val="25"/>
          <w:szCs w:val="25"/>
        </w:rPr>
        <w:t xml:space="preserve"> 000,0 </w:t>
      </w:r>
      <w:r w:rsidR="00BD2717" w:rsidRPr="00CE6101">
        <w:rPr>
          <w:sz w:val="25"/>
          <w:szCs w:val="25"/>
        </w:rPr>
        <w:t>тыс.руб. (</w:t>
      </w:r>
      <w:r w:rsidR="00613D1E" w:rsidRPr="00CE6101">
        <w:rPr>
          <w:sz w:val="25"/>
          <w:szCs w:val="25"/>
        </w:rPr>
        <w:t>ч</w:t>
      </w:r>
      <w:r w:rsidR="00BD2717" w:rsidRPr="00CE6101">
        <w:rPr>
          <w:sz w:val="25"/>
          <w:szCs w:val="25"/>
        </w:rPr>
        <w:t>.1 ст.</w:t>
      </w:r>
      <w:r w:rsidR="00613D1E" w:rsidRPr="00CE6101">
        <w:rPr>
          <w:sz w:val="25"/>
          <w:szCs w:val="25"/>
        </w:rPr>
        <w:t>8</w:t>
      </w:r>
      <w:r w:rsidR="00BD2717" w:rsidRPr="00CE6101">
        <w:rPr>
          <w:sz w:val="25"/>
          <w:szCs w:val="25"/>
        </w:rPr>
        <w:t xml:space="preserve"> проекта решения</w:t>
      </w:r>
      <w:r w:rsidR="00C66617" w:rsidRPr="00CE6101">
        <w:rPr>
          <w:sz w:val="25"/>
          <w:szCs w:val="25"/>
        </w:rPr>
        <w:t xml:space="preserve">). </w:t>
      </w:r>
      <w:r w:rsidR="009A3998" w:rsidRPr="00CE6101">
        <w:rPr>
          <w:sz w:val="25"/>
          <w:szCs w:val="25"/>
        </w:rPr>
        <w:t xml:space="preserve">Верхний предел долга по муниципальным гарантиям муниципального образования «Город Архангельск» </w:t>
      </w:r>
      <w:r w:rsidR="00873DB9" w:rsidRPr="00CE6101">
        <w:rPr>
          <w:sz w:val="25"/>
          <w:szCs w:val="25"/>
        </w:rPr>
        <w:t xml:space="preserve">на вышеуказанные даты </w:t>
      </w:r>
      <w:r w:rsidR="009A3998" w:rsidRPr="00CE6101">
        <w:rPr>
          <w:sz w:val="25"/>
          <w:szCs w:val="25"/>
        </w:rPr>
        <w:t xml:space="preserve">установлен в сумме 0,0 тыс.руб. </w:t>
      </w:r>
    </w:p>
    <w:p w:rsidR="001C1265" w:rsidRPr="0061254B" w:rsidRDefault="00311A87" w:rsidP="004A4A00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61254B">
        <w:rPr>
          <w:sz w:val="25"/>
          <w:szCs w:val="25"/>
          <w:u w:val="single"/>
        </w:rPr>
        <w:t>П</w:t>
      </w:r>
      <w:r w:rsidR="00873DB9" w:rsidRPr="0061254B">
        <w:rPr>
          <w:sz w:val="25"/>
          <w:szCs w:val="25"/>
          <w:u w:val="single"/>
        </w:rPr>
        <w:t>редельный объем</w:t>
      </w:r>
      <w:r w:rsidR="00873DB9" w:rsidRPr="0061254B">
        <w:rPr>
          <w:sz w:val="25"/>
          <w:szCs w:val="25"/>
        </w:rPr>
        <w:t xml:space="preserve"> муниципального </w:t>
      </w:r>
      <w:r w:rsidR="00613D1E" w:rsidRPr="0061254B">
        <w:rPr>
          <w:sz w:val="25"/>
          <w:szCs w:val="25"/>
        </w:rPr>
        <w:t xml:space="preserve">внутреннего </w:t>
      </w:r>
      <w:r w:rsidR="00873DB9" w:rsidRPr="0061254B">
        <w:rPr>
          <w:sz w:val="25"/>
          <w:szCs w:val="25"/>
        </w:rPr>
        <w:t>долга на 201</w:t>
      </w:r>
      <w:r w:rsidR="008436C8">
        <w:rPr>
          <w:sz w:val="25"/>
          <w:szCs w:val="25"/>
        </w:rPr>
        <w:t>8</w:t>
      </w:r>
      <w:r w:rsidR="00873DB9" w:rsidRPr="0061254B">
        <w:rPr>
          <w:sz w:val="25"/>
          <w:szCs w:val="25"/>
        </w:rPr>
        <w:t xml:space="preserve"> год и на плановый период 201</w:t>
      </w:r>
      <w:r w:rsidR="00137A36" w:rsidRPr="0061254B">
        <w:rPr>
          <w:sz w:val="25"/>
          <w:szCs w:val="25"/>
        </w:rPr>
        <w:t>8</w:t>
      </w:r>
      <w:r w:rsidR="00873DB9" w:rsidRPr="0061254B">
        <w:rPr>
          <w:sz w:val="25"/>
          <w:szCs w:val="25"/>
        </w:rPr>
        <w:t xml:space="preserve"> и 201</w:t>
      </w:r>
      <w:r w:rsidR="00137A36" w:rsidRPr="0061254B">
        <w:rPr>
          <w:sz w:val="25"/>
          <w:szCs w:val="25"/>
        </w:rPr>
        <w:t>9</w:t>
      </w:r>
      <w:r w:rsidR="00873DB9" w:rsidRPr="0061254B">
        <w:rPr>
          <w:sz w:val="25"/>
          <w:szCs w:val="25"/>
        </w:rPr>
        <w:t xml:space="preserve"> годов  установлен в сумм</w:t>
      </w:r>
      <w:r w:rsidR="00027E23" w:rsidRPr="0061254B">
        <w:rPr>
          <w:sz w:val="25"/>
          <w:szCs w:val="25"/>
        </w:rPr>
        <w:t xml:space="preserve">ах </w:t>
      </w:r>
      <w:r w:rsidR="00873DB9" w:rsidRPr="0061254B">
        <w:rPr>
          <w:sz w:val="25"/>
          <w:szCs w:val="25"/>
        </w:rPr>
        <w:t xml:space="preserve"> </w:t>
      </w:r>
      <w:r w:rsidR="008436C8" w:rsidRPr="008436C8">
        <w:rPr>
          <w:sz w:val="25"/>
          <w:szCs w:val="25"/>
        </w:rPr>
        <w:t xml:space="preserve">4 430 000,0 </w:t>
      </w:r>
      <w:r w:rsidR="00E21A13" w:rsidRPr="0061254B">
        <w:rPr>
          <w:sz w:val="25"/>
          <w:szCs w:val="25"/>
        </w:rPr>
        <w:t xml:space="preserve"> </w:t>
      </w:r>
      <w:r w:rsidR="00873DB9" w:rsidRPr="0061254B">
        <w:rPr>
          <w:sz w:val="25"/>
          <w:szCs w:val="25"/>
        </w:rPr>
        <w:t xml:space="preserve">тыс.руб., </w:t>
      </w:r>
      <w:r w:rsidR="008436C8" w:rsidRPr="008436C8">
        <w:rPr>
          <w:sz w:val="25"/>
          <w:szCs w:val="25"/>
        </w:rPr>
        <w:t>4 550 000,0</w:t>
      </w:r>
      <w:r w:rsidR="00E21A13" w:rsidRPr="0061254B">
        <w:rPr>
          <w:sz w:val="25"/>
          <w:szCs w:val="25"/>
        </w:rPr>
        <w:t xml:space="preserve"> </w:t>
      </w:r>
      <w:r w:rsidR="00CE6101" w:rsidRPr="0061254B">
        <w:rPr>
          <w:sz w:val="25"/>
          <w:szCs w:val="25"/>
        </w:rPr>
        <w:t>тыс</w:t>
      </w:r>
      <w:r w:rsidR="00873DB9" w:rsidRPr="0061254B">
        <w:rPr>
          <w:sz w:val="25"/>
          <w:szCs w:val="25"/>
        </w:rPr>
        <w:t xml:space="preserve">.руб., </w:t>
      </w:r>
      <w:r w:rsidR="008436C8" w:rsidRPr="008436C8">
        <w:rPr>
          <w:sz w:val="25"/>
          <w:szCs w:val="25"/>
        </w:rPr>
        <w:t>4 660 000,0</w:t>
      </w:r>
      <w:r w:rsidR="00E21A13" w:rsidRPr="0061254B">
        <w:rPr>
          <w:sz w:val="25"/>
          <w:szCs w:val="25"/>
        </w:rPr>
        <w:t xml:space="preserve"> </w:t>
      </w:r>
      <w:r w:rsidR="00873DB9" w:rsidRPr="0061254B">
        <w:rPr>
          <w:sz w:val="25"/>
          <w:szCs w:val="25"/>
        </w:rPr>
        <w:t>тыс.руб. соответственно (</w:t>
      </w:r>
      <w:r w:rsidR="00EF44C6" w:rsidRPr="0061254B">
        <w:rPr>
          <w:sz w:val="25"/>
          <w:szCs w:val="25"/>
        </w:rPr>
        <w:t>ч</w:t>
      </w:r>
      <w:r w:rsidR="00873DB9" w:rsidRPr="0061254B">
        <w:rPr>
          <w:sz w:val="25"/>
          <w:szCs w:val="25"/>
        </w:rPr>
        <w:t>.2 ст.</w:t>
      </w:r>
      <w:r w:rsidR="00EF44C6" w:rsidRPr="0061254B">
        <w:rPr>
          <w:sz w:val="25"/>
          <w:szCs w:val="25"/>
        </w:rPr>
        <w:t>8</w:t>
      </w:r>
      <w:r w:rsidR="00873DB9" w:rsidRPr="0061254B">
        <w:rPr>
          <w:sz w:val="25"/>
          <w:szCs w:val="25"/>
        </w:rPr>
        <w:t xml:space="preserve"> проекта решения), т.е.</w:t>
      </w:r>
      <w:r w:rsidR="00BB76E0" w:rsidRPr="0061254B">
        <w:rPr>
          <w:sz w:val="25"/>
          <w:szCs w:val="25"/>
        </w:rPr>
        <w:t xml:space="preserve"> </w:t>
      </w:r>
      <w:r w:rsidR="00873DB9" w:rsidRPr="0061254B">
        <w:rPr>
          <w:sz w:val="25"/>
          <w:szCs w:val="25"/>
        </w:rPr>
        <w:t xml:space="preserve">с учетом ограничения, </w:t>
      </w:r>
      <w:r w:rsidR="008651C5" w:rsidRPr="0061254B">
        <w:rPr>
          <w:sz w:val="25"/>
          <w:szCs w:val="25"/>
        </w:rPr>
        <w:t>установленного п.3 ст.107 БК РФ</w:t>
      </w:r>
      <w:r w:rsidR="00CE6101" w:rsidRPr="0061254B">
        <w:rPr>
          <w:sz w:val="25"/>
          <w:szCs w:val="25"/>
        </w:rPr>
        <w:t>.</w:t>
      </w:r>
      <w:r w:rsidR="008651C5" w:rsidRPr="0061254B">
        <w:rPr>
          <w:sz w:val="25"/>
          <w:szCs w:val="25"/>
        </w:rPr>
        <w:t xml:space="preserve"> </w:t>
      </w:r>
    </w:p>
    <w:p w:rsidR="004A1ED5" w:rsidRPr="0061254B" w:rsidRDefault="007335EB" w:rsidP="007335E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61254B">
        <w:rPr>
          <w:sz w:val="25"/>
          <w:szCs w:val="25"/>
        </w:rPr>
        <w:t xml:space="preserve">Предельный объем муниципального </w:t>
      </w:r>
      <w:r w:rsidR="00C66617" w:rsidRPr="0061254B">
        <w:rPr>
          <w:sz w:val="25"/>
          <w:szCs w:val="25"/>
        </w:rPr>
        <w:t xml:space="preserve">внутреннего </w:t>
      </w:r>
      <w:r w:rsidRPr="0061254B">
        <w:rPr>
          <w:sz w:val="25"/>
          <w:szCs w:val="25"/>
        </w:rPr>
        <w:t>долга на 201</w:t>
      </w:r>
      <w:r w:rsidR="006D62AF">
        <w:rPr>
          <w:sz w:val="25"/>
          <w:szCs w:val="25"/>
        </w:rPr>
        <w:t>8</w:t>
      </w:r>
      <w:r w:rsidRPr="0061254B">
        <w:rPr>
          <w:sz w:val="25"/>
          <w:szCs w:val="25"/>
        </w:rPr>
        <w:t xml:space="preserve"> год по сравнению с 201</w:t>
      </w:r>
      <w:r w:rsidR="006D62AF">
        <w:rPr>
          <w:sz w:val="25"/>
          <w:szCs w:val="25"/>
        </w:rPr>
        <w:t>7</w:t>
      </w:r>
      <w:r w:rsidRPr="0061254B">
        <w:rPr>
          <w:sz w:val="25"/>
          <w:szCs w:val="25"/>
        </w:rPr>
        <w:t xml:space="preserve"> годом</w:t>
      </w:r>
      <w:r w:rsidR="00531C17" w:rsidRPr="0061254B">
        <w:rPr>
          <w:sz w:val="25"/>
          <w:szCs w:val="25"/>
        </w:rPr>
        <w:t xml:space="preserve"> </w:t>
      </w:r>
      <w:r w:rsidRPr="0061254B">
        <w:rPr>
          <w:sz w:val="25"/>
          <w:szCs w:val="25"/>
        </w:rPr>
        <w:t xml:space="preserve">(решение Архангельской городской Думы от </w:t>
      </w:r>
      <w:r w:rsidR="00766F84" w:rsidRPr="0061254B">
        <w:rPr>
          <w:sz w:val="25"/>
          <w:szCs w:val="25"/>
        </w:rPr>
        <w:t>1</w:t>
      </w:r>
      <w:r w:rsidR="006D62AF">
        <w:rPr>
          <w:sz w:val="25"/>
          <w:szCs w:val="25"/>
        </w:rPr>
        <w:t>4</w:t>
      </w:r>
      <w:r w:rsidRPr="0061254B">
        <w:rPr>
          <w:sz w:val="25"/>
          <w:szCs w:val="25"/>
        </w:rPr>
        <w:t>.12.201</w:t>
      </w:r>
      <w:r w:rsidR="006D62AF">
        <w:rPr>
          <w:sz w:val="25"/>
          <w:szCs w:val="25"/>
        </w:rPr>
        <w:t>6</w:t>
      </w:r>
      <w:r w:rsidR="004A1ED5" w:rsidRPr="0061254B">
        <w:rPr>
          <w:sz w:val="25"/>
          <w:szCs w:val="25"/>
        </w:rPr>
        <w:t xml:space="preserve"> №</w:t>
      </w:r>
      <w:r w:rsidR="006D62AF">
        <w:rPr>
          <w:sz w:val="25"/>
          <w:szCs w:val="25"/>
        </w:rPr>
        <w:t>46</w:t>
      </w:r>
      <w:r w:rsidR="00766F84" w:rsidRPr="0061254B">
        <w:rPr>
          <w:sz w:val="25"/>
          <w:szCs w:val="25"/>
        </w:rPr>
        <w:t>0</w:t>
      </w:r>
      <w:r w:rsidR="00C07B12" w:rsidRPr="0061254B">
        <w:rPr>
          <w:sz w:val="25"/>
          <w:szCs w:val="25"/>
        </w:rPr>
        <w:t xml:space="preserve"> «О городском бюджете на 201</w:t>
      </w:r>
      <w:r w:rsidR="006D62AF">
        <w:rPr>
          <w:sz w:val="25"/>
          <w:szCs w:val="25"/>
        </w:rPr>
        <w:t>7</w:t>
      </w:r>
      <w:r w:rsidR="00C07B12" w:rsidRPr="0061254B">
        <w:rPr>
          <w:sz w:val="25"/>
          <w:szCs w:val="25"/>
        </w:rPr>
        <w:t xml:space="preserve"> год и на плановый период 201</w:t>
      </w:r>
      <w:r w:rsidR="006D62AF">
        <w:rPr>
          <w:sz w:val="25"/>
          <w:szCs w:val="25"/>
        </w:rPr>
        <w:t>8</w:t>
      </w:r>
      <w:r w:rsidR="00C07B12" w:rsidRPr="0061254B">
        <w:rPr>
          <w:sz w:val="25"/>
          <w:szCs w:val="25"/>
        </w:rPr>
        <w:t xml:space="preserve"> и 201</w:t>
      </w:r>
      <w:r w:rsidR="006D62AF">
        <w:rPr>
          <w:sz w:val="25"/>
          <w:szCs w:val="25"/>
        </w:rPr>
        <w:t>9</w:t>
      </w:r>
      <w:r w:rsidR="00C07B12" w:rsidRPr="0061254B">
        <w:rPr>
          <w:sz w:val="25"/>
          <w:szCs w:val="25"/>
        </w:rPr>
        <w:t xml:space="preserve"> годов»</w:t>
      </w:r>
      <w:r w:rsidRPr="0061254B">
        <w:rPr>
          <w:sz w:val="25"/>
          <w:szCs w:val="25"/>
        </w:rPr>
        <w:t xml:space="preserve">) планируется в </w:t>
      </w:r>
      <w:r w:rsidR="004A1ED5" w:rsidRPr="0061254B">
        <w:rPr>
          <w:sz w:val="25"/>
          <w:szCs w:val="25"/>
        </w:rPr>
        <w:t xml:space="preserve">большем </w:t>
      </w:r>
      <w:r w:rsidRPr="0061254B">
        <w:rPr>
          <w:sz w:val="25"/>
          <w:szCs w:val="25"/>
        </w:rPr>
        <w:t xml:space="preserve">размере на </w:t>
      </w:r>
      <w:r w:rsidR="006D62AF" w:rsidRPr="006D62AF">
        <w:rPr>
          <w:sz w:val="25"/>
          <w:szCs w:val="25"/>
        </w:rPr>
        <w:t>229 000,0</w:t>
      </w:r>
      <w:r w:rsidR="006D62AF">
        <w:rPr>
          <w:sz w:val="25"/>
          <w:szCs w:val="25"/>
        </w:rPr>
        <w:t xml:space="preserve"> </w:t>
      </w:r>
      <w:r w:rsidRPr="0061254B">
        <w:rPr>
          <w:sz w:val="25"/>
          <w:szCs w:val="25"/>
        </w:rPr>
        <w:t>тыс</w:t>
      </w:r>
      <w:proofErr w:type="gramStart"/>
      <w:r w:rsidRPr="0061254B">
        <w:rPr>
          <w:sz w:val="25"/>
          <w:szCs w:val="25"/>
        </w:rPr>
        <w:t>.р</w:t>
      </w:r>
      <w:proofErr w:type="gramEnd"/>
      <w:r w:rsidRPr="0061254B">
        <w:rPr>
          <w:sz w:val="25"/>
          <w:szCs w:val="25"/>
        </w:rPr>
        <w:t xml:space="preserve">уб. </w:t>
      </w:r>
      <w:r w:rsidR="004A1ED5" w:rsidRPr="0061254B">
        <w:rPr>
          <w:sz w:val="25"/>
          <w:szCs w:val="25"/>
        </w:rPr>
        <w:t xml:space="preserve">или на </w:t>
      </w:r>
      <w:r w:rsidR="006D62AF">
        <w:rPr>
          <w:sz w:val="25"/>
          <w:szCs w:val="25"/>
        </w:rPr>
        <w:t>5,5</w:t>
      </w:r>
      <w:r w:rsidR="006545F2" w:rsidRPr="0061254B">
        <w:rPr>
          <w:sz w:val="25"/>
          <w:szCs w:val="25"/>
        </w:rPr>
        <w:t xml:space="preserve">%, </w:t>
      </w:r>
      <w:r w:rsidR="00990485" w:rsidRPr="0061254B">
        <w:rPr>
          <w:sz w:val="25"/>
          <w:szCs w:val="25"/>
        </w:rPr>
        <w:t>на 201</w:t>
      </w:r>
      <w:r w:rsidR="003C1B6D">
        <w:rPr>
          <w:sz w:val="25"/>
          <w:szCs w:val="25"/>
        </w:rPr>
        <w:t>9</w:t>
      </w:r>
      <w:r w:rsidR="00990485" w:rsidRPr="0061254B">
        <w:rPr>
          <w:sz w:val="25"/>
          <w:szCs w:val="25"/>
        </w:rPr>
        <w:t xml:space="preserve"> год</w:t>
      </w:r>
      <w:r w:rsidR="006545F2" w:rsidRPr="0061254B">
        <w:rPr>
          <w:sz w:val="25"/>
          <w:szCs w:val="25"/>
        </w:rPr>
        <w:t xml:space="preserve"> </w:t>
      </w:r>
      <w:r w:rsidR="00990485" w:rsidRPr="0061254B">
        <w:rPr>
          <w:sz w:val="25"/>
          <w:szCs w:val="25"/>
        </w:rPr>
        <w:t>по сравнению с 201</w:t>
      </w:r>
      <w:r w:rsidR="003C1B6D">
        <w:rPr>
          <w:sz w:val="25"/>
          <w:szCs w:val="25"/>
        </w:rPr>
        <w:t>8</w:t>
      </w:r>
      <w:r w:rsidR="00F46CB1" w:rsidRPr="0061254B">
        <w:rPr>
          <w:sz w:val="25"/>
          <w:szCs w:val="25"/>
        </w:rPr>
        <w:t xml:space="preserve"> годом</w:t>
      </w:r>
      <w:r w:rsidR="006545F2" w:rsidRPr="0061254B">
        <w:rPr>
          <w:sz w:val="25"/>
          <w:szCs w:val="25"/>
        </w:rPr>
        <w:t xml:space="preserve"> </w:t>
      </w:r>
      <w:r w:rsidR="00F46CB1" w:rsidRPr="0061254B">
        <w:rPr>
          <w:sz w:val="25"/>
          <w:szCs w:val="25"/>
        </w:rPr>
        <w:t xml:space="preserve"> </w:t>
      </w:r>
      <w:r w:rsidR="006545F2" w:rsidRPr="0061254B">
        <w:rPr>
          <w:sz w:val="25"/>
          <w:szCs w:val="25"/>
        </w:rPr>
        <w:t>-</w:t>
      </w:r>
      <w:r w:rsidR="004A1ED5" w:rsidRPr="0061254B">
        <w:rPr>
          <w:sz w:val="25"/>
          <w:szCs w:val="25"/>
        </w:rPr>
        <w:t xml:space="preserve"> в объеме большем на </w:t>
      </w:r>
      <w:r w:rsidR="003C1B6D" w:rsidRPr="003C1B6D">
        <w:rPr>
          <w:sz w:val="25"/>
          <w:szCs w:val="25"/>
        </w:rPr>
        <w:t>120 000,0</w:t>
      </w:r>
      <w:r w:rsidR="000038F7" w:rsidRPr="0061254B">
        <w:rPr>
          <w:sz w:val="25"/>
          <w:szCs w:val="25"/>
        </w:rPr>
        <w:t xml:space="preserve"> </w:t>
      </w:r>
      <w:r w:rsidR="004A1ED5" w:rsidRPr="0061254B">
        <w:rPr>
          <w:sz w:val="25"/>
          <w:szCs w:val="25"/>
        </w:rPr>
        <w:t>тыс</w:t>
      </w:r>
      <w:proofErr w:type="gramStart"/>
      <w:r w:rsidR="004A1ED5" w:rsidRPr="0061254B">
        <w:rPr>
          <w:sz w:val="25"/>
          <w:szCs w:val="25"/>
        </w:rPr>
        <w:t>.р</w:t>
      </w:r>
      <w:proofErr w:type="gramEnd"/>
      <w:r w:rsidR="004A1ED5" w:rsidRPr="0061254B">
        <w:rPr>
          <w:sz w:val="25"/>
          <w:szCs w:val="25"/>
        </w:rPr>
        <w:t>уб.</w:t>
      </w:r>
      <w:r w:rsidR="00990485" w:rsidRPr="0061254B">
        <w:rPr>
          <w:sz w:val="25"/>
          <w:szCs w:val="25"/>
        </w:rPr>
        <w:t xml:space="preserve"> или на </w:t>
      </w:r>
      <w:r w:rsidR="003C1B6D">
        <w:rPr>
          <w:sz w:val="25"/>
          <w:szCs w:val="25"/>
        </w:rPr>
        <w:t>2,7</w:t>
      </w:r>
      <w:r w:rsidR="00F46CB1" w:rsidRPr="0061254B">
        <w:rPr>
          <w:sz w:val="25"/>
          <w:szCs w:val="25"/>
        </w:rPr>
        <w:t>%</w:t>
      </w:r>
      <w:r w:rsidR="004A1ED5" w:rsidRPr="0061254B">
        <w:rPr>
          <w:sz w:val="25"/>
          <w:szCs w:val="25"/>
        </w:rPr>
        <w:t>,</w:t>
      </w:r>
      <w:r w:rsidR="00990485" w:rsidRPr="0061254B">
        <w:rPr>
          <w:sz w:val="25"/>
          <w:szCs w:val="25"/>
        </w:rPr>
        <w:t xml:space="preserve"> на 20</w:t>
      </w:r>
      <w:r w:rsidR="003C1B6D">
        <w:rPr>
          <w:sz w:val="25"/>
          <w:szCs w:val="25"/>
        </w:rPr>
        <w:t>20</w:t>
      </w:r>
      <w:r w:rsidR="004A1ED5" w:rsidRPr="0061254B">
        <w:rPr>
          <w:sz w:val="25"/>
          <w:szCs w:val="25"/>
        </w:rPr>
        <w:t xml:space="preserve"> год </w:t>
      </w:r>
      <w:r w:rsidR="0061254B" w:rsidRPr="0061254B">
        <w:rPr>
          <w:sz w:val="25"/>
          <w:szCs w:val="25"/>
        </w:rPr>
        <w:t>по сравнению с</w:t>
      </w:r>
      <w:r w:rsidR="00990485" w:rsidRPr="0061254B">
        <w:rPr>
          <w:sz w:val="25"/>
          <w:szCs w:val="25"/>
        </w:rPr>
        <w:t xml:space="preserve"> 201</w:t>
      </w:r>
      <w:r w:rsidR="003C1B6D">
        <w:rPr>
          <w:sz w:val="25"/>
          <w:szCs w:val="25"/>
        </w:rPr>
        <w:t>9</w:t>
      </w:r>
      <w:r w:rsidR="004A1ED5" w:rsidRPr="0061254B">
        <w:rPr>
          <w:sz w:val="25"/>
          <w:szCs w:val="25"/>
        </w:rPr>
        <w:t xml:space="preserve"> год</w:t>
      </w:r>
      <w:r w:rsidR="0061254B" w:rsidRPr="0061254B">
        <w:rPr>
          <w:sz w:val="25"/>
          <w:szCs w:val="25"/>
        </w:rPr>
        <w:t>ом</w:t>
      </w:r>
      <w:r w:rsidR="004A1ED5" w:rsidRPr="0061254B">
        <w:rPr>
          <w:sz w:val="25"/>
          <w:szCs w:val="25"/>
        </w:rPr>
        <w:t xml:space="preserve"> </w:t>
      </w:r>
      <w:r w:rsidR="0061254B" w:rsidRPr="0061254B">
        <w:rPr>
          <w:sz w:val="25"/>
          <w:szCs w:val="25"/>
        </w:rPr>
        <w:t>–</w:t>
      </w:r>
      <w:r w:rsidR="00E53E1A" w:rsidRPr="0061254B">
        <w:rPr>
          <w:sz w:val="25"/>
          <w:szCs w:val="25"/>
        </w:rPr>
        <w:t xml:space="preserve"> </w:t>
      </w:r>
      <w:r w:rsidR="0061254B" w:rsidRPr="0061254B">
        <w:rPr>
          <w:sz w:val="25"/>
          <w:szCs w:val="25"/>
        </w:rPr>
        <w:t xml:space="preserve">в объеме </w:t>
      </w:r>
      <w:r w:rsidR="00990485" w:rsidRPr="0061254B">
        <w:rPr>
          <w:sz w:val="25"/>
          <w:szCs w:val="25"/>
        </w:rPr>
        <w:t>больше</w:t>
      </w:r>
      <w:r w:rsidR="0061254B" w:rsidRPr="0061254B">
        <w:rPr>
          <w:sz w:val="25"/>
          <w:szCs w:val="25"/>
        </w:rPr>
        <w:t>м</w:t>
      </w:r>
      <w:r w:rsidR="00990485" w:rsidRPr="0061254B">
        <w:rPr>
          <w:sz w:val="25"/>
          <w:szCs w:val="25"/>
        </w:rPr>
        <w:t xml:space="preserve"> на </w:t>
      </w:r>
      <w:r w:rsidR="003C1B6D" w:rsidRPr="003C1B6D">
        <w:rPr>
          <w:sz w:val="25"/>
          <w:szCs w:val="25"/>
        </w:rPr>
        <w:t>110 000,0</w:t>
      </w:r>
      <w:r w:rsidR="000038F7" w:rsidRPr="0061254B">
        <w:rPr>
          <w:sz w:val="25"/>
          <w:szCs w:val="25"/>
        </w:rPr>
        <w:t xml:space="preserve"> </w:t>
      </w:r>
      <w:r w:rsidR="0061254B" w:rsidRPr="0061254B">
        <w:rPr>
          <w:sz w:val="25"/>
          <w:szCs w:val="25"/>
        </w:rPr>
        <w:t>тыс.</w:t>
      </w:r>
      <w:r w:rsidR="004A1ED5" w:rsidRPr="0061254B">
        <w:rPr>
          <w:sz w:val="25"/>
          <w:szCs w:val="25"/>
        </w:rPr>
        <w:t>руб.</w:t>
      </w:r>
      <w:r w:rsidR="00F46CB1" w:rsidRPr="0061254B">
        <w:rPr>
          <w:sz w:val="25"/>
          <w:szCs w:val="25"/>
        </w:rPr>
        <w:t xml:space="preserve"> или на </w:t>
      </w:r>
      <w:r w:rsidR="003C1B6D">
        <w:rPr>
          <w:sz w:val="25"/>
          <w:szCs w:val="25"/>
        </w:rPr>
        <w:t>2,4</w:t>
      </w:r>
      <w:r w:rsidR="00F46CB1" w:rsidRPr="0061254B">
        <w:rPr>
          <w:sz w:val="25"/>
          <w:szCs w:val="25"/>
        </w:rPr>
        <w:t>%.</w:t>
      </w:r>
      <w:r w:rsidR="007128E5" w:rsidRPr="0061254B">
        <w:rPr>
          <w:sz w:val="25"/>
          <w:szCs w:val="25"/>
        </w:rPr>
        <w:t xml:space="preserve">                      </w:t>
      </w:r>
    </w:p>
    <w:p w:rsidR="00BE3C5B" w:rsidRDefault="00EB210E" w:rsidP="00BE1841">
      <w:pPr>
        <w:autoSpaceDE w:val="0"/>
        <w:autoSpaceDN w:val="0"/>
        <w:adjustRightInd w:val="0"/>
        <w:ind w:firstLine="567"/>
        <w:jc w:val="both"/>
      </w:pPr>
      <w:r w:rsidRPr="0033215F">
        <w:rPr>
          <w:sz w:val="25"/>
          <w:szCs w:val="25"/>
        </w:rPr>
        <w:t>В 201</w:t>
      </w:r>
      <w:r>
        <w:rPr>
          <w:sz w:val="25"/>
          <w:szCs w:val="25"/>
        </w:rPr>
        <w:t>8</w:t>
      </w:r>
      <w:r w:rsidRPr="0033215F">
        <w:rPr>
          <w:sz w:val="25"/>
          <w:szCs w:val="25"/>
        </w:rPr>
        <w:t xml:space="preserve"> году по сравнению </w:t>
      </w:r>
      <w:r>
        <w:rPr>
          <w:sz w:val="25"/>
          <w:szCs w:val="25"/>
        </w:rPr>
        <w:t xml:space="preserve">плановыми показателями </w:t>
      </w:r>
      <w:r w:rsidRPr="0033215F">
        <w:rPr>
          <w:sz w:val="25"/>
          <w:szCs w:val="25"/>
        </w:rPr>
        <w:t>201</w:t>
      </w:r>
      <w:r>
        <w:rPr>
          <w:sz w:val="25"/>
          <w:szCs w:val="25"/>
        </w:rPr>
        <w:t>7</w:t>
      </w:r>
      <w:r w:rsidRPr="0033215F">
        <w:rPr>
          <w:sz w:val="25"/>
          <w:szCs w:val="25"/>
        </w:rPr>
        <w:t xml:space="preserve"> год</w:t>
      </w:r>
      <w:r>
        <w:rPr>
          <w:sz w:val="25"/>
          <w:szCs w:val="25"/>
        </w:rPr>
        <w:t>а</w:t>
      </w:r>
      <w:r w:rsidRPr="0033215F">
        <w:rPr>
          <w:sz w:val="25"/>
          <w:szCs w:val="25"/>
        </w:rPr>
        <w:t xml:space="preserve"> (решение  Архангельской городской Думы от 1</w:t>
      </w:r>
      <w:r>
        <w:rPr>
          <w:sz w:val="25"/>
          <w:szCs w:val="25"/>
        </w:rPr>
        <w:t>4</w:t>
      </w:r>
      <w:r w:rsidRPr="0033215F">
        <w:rPr>
          <w:sz w:val="25"/>
          <w:szCs w:val="25"/>
        </w:rPr>
        <w:t>.12.201</w:t>
      </w:r>
      <w:r>
        <w:rPr>
          <w:sz w:val="25"/>
          <w:szCs w:val="25"/>
        </w:rPr>
        <w:t>6</w:t>
      </w:r>
      <w:r w:rsidRPr="0033215F">
        <w:rPr>
          <w:sz w:val="25"/>
          <w:szCs w:val="25"/>
        </w:rPr>
        <w:t xml:space="preserve"> № </w:t>
      </w:r>
      <w:r>
        <w:rPr>
          <w:sz w:val="25"/>
          <w:szCs w:val="25"/>
        </w:rPr>
        <w:t>46</w:t>
      </w:r>
      <w:r w:rsidRPr="0033215F">
        <w:rPr>
          <w:sz w:val="25"/>
          <w:szCs w:val="25"/>
        </w:rPr>
        <w:t>0 «О городском бюджете на 201</w:t>
      </w:r>
      <w:r>
        <w:rPr>
          <w:sz w:val="25"/>
          <w:szCs w:val="25"/>
        </w:rPr>
        <w:t>7</w:t>
      </w:r>
      <w:r w:rsidRPr="0033215F">
        <w:rPr>
          <w:sz w:val="25"/>
          <w:szCs w:val="25"/>
        </w:rPr>
        <w:t xml:space="preserve"> год и на плановый период 201</w:t>
      </w:r>
      <w:r>
        <w:rPr>
          <w:sz w:val="25"/>
          <w:szCs w:val="25"/>
        </w:rPr>
        <w:t>8</w:t>
      </w:r>
      <w:r w:rsidRPr="0033215F">
        <w:rPr>
          <w:sz w:val="25"/>
          <w:szCs w:val="25"/>
        </w:rPr>
        <w:t xml:space="preserve"> и 201</w:t>
      </w:r>
      <w:r>
        <w:rPr>
          <w:sz w:val="25"/>
          <w:szCs w:val="25"/>
        </w:rPr>
        <w:t>9</w:t>
      </w:r>
      <w:r w:rsidRPr="0033215F">
        <w:rPr>
          <w:sz w:val="25"/>
          <w:szCs w:val="25"/>
        </w:rPr>
        <w:t xml:space="preserve"> годов» (в ред. от 2</w:t>
      </w:r>
      <w:r>
        <w:rPr>
          <w:sz w:val="25"/>
          <w:szCs w:val="25"/>
        </w:rPr>
        <w:t>5</w:t>
      </w:r>
      <w:r w:rsidRPr="0033215F">
        <w:rPr>
          <w:sz w:val="25"/>
          <w:szCs w:val="25"/>
        </w:rPr>
        <w:t>.10.201</w:t>
      </w:r>
      <w:r>
        <w:rPr>
          <w:sz w:val="25"/>
          <w:szCs w:val="25"/>
        </w:rPr>
        <w:t>7</w:t>
      </w:r>
      <w:r w:rsidRPr="0033215F">
        <w:rPr>
          <w:sz w:val="25"/>
          <w:szCs w:val="25"/>
        </w:rPr>
        <w:t xml:space="preserve">)) </w:t>
      </w:r>
      <w:r>
        <w:rPr>
          <w:sz w:val="25"/>
          <w:szCs w:val="25"/>
        </w:rPr>
        <w:t xml:space="preserve">планируется уменьшение </w:t>
      </w:r>
      <w:r w:rsidRPr="00360015">
        <w:rPr>
          <w:sz w:val="25"/>
          <w:szCs w:val="25"/>
          <w:u w:val="single"/>
        </w:rPr>
        <w:t>объема муниципальных заимствований</w:t>
      </w:r>
      <w:r>
        <w:rPr>
          <w:sz w:val="25"/>
          <w:szCs w:val="25"/>
        </w:rPr>
        <w:t xml:space="preserve"> по кредитам кредитных организаций в валюте Российской Федерации на </w:t>
      </w:r>
      <w:r w:rsidRPr="003A7819">
        <w:rPr>
          <w:sz w:val="25"/>
          <w:szCs w:val="25"/>
        </w:rPr>
        <w:t>574 728,7</w:t>
      </w:r>
      <w:r>
        <w:rPr>
          <w:sz w:val="25"/>
          <w:szCs w:val="25"/>
        </w:rPr>
        <w:t xml:space="preserve"> 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 xml:space="preserve">уб. или на 13,8% и составит </w:t>
      </w:r>
      <w:r w:rsidRPr="003A7819">
        <w:rPr>
          <w:sz w:val="25"/>
          <w:szCs w:val="25"/>
        </w:rPr>
        <w:t>3 600 271,3</w:t>
      </w:r>
      <w:r>
        <w:rPr>
          <w:sz w:val="25"/>
          <w:szCs w:val="25"/>
        </w:rPr>
        <w:t xml:space="preserve"> 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уб., что сопоставимо с плановым показателем 2016 года (</w:t>
      </w:r>
      <w:r w:rsidRPr="003A7819">
        <w:rPr>
          <w:sz w:val="25"/>
          <w:szCs w:val="25"/>
        </w:rPr>
        <w:t>3 594 500,0</w:t>
      </w:r>
      <w:r>
        <w:rPr>
          <w:sz w:val="25"/>
          <w:szCs w:val="25"/>
        </w:rPr>
        <w:t xml:space="preserve"> тыс.руб.). На каждый год планового периода в проекте решения запланировано увеличено муниципальных заимствований по кредитам кредитных организаций по отношению к предыдущему году: в 2019 году по сравнению с 2018 годом - на </w:t>
      </w:r>
      <w:r w:rsidRPr="003A7819">
        <w:rPr>
          <w:sz w:val="25"/>
          <w:szCs w:val="25"/>
        </w:rPr>
        <w:t>315 008,7</w:t>
      </w:r>
      <w:r>
        <w:rPr>
          <w:sz w:val="25"/>
          <w:szCs w:val="25"/>
        </w:rPr>
        <w:t xml:space="preserve"> тыс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 xml:space="preserve">уб. или 8,7%, в 2020 году по сравнению с 2019 годом – на </w:t>
      </w:r>
      <w:r w:rsidRPr="003A7819">
        <w:rPr>
          <w:sz w:val="25"/>
          <w:szCs w:val="25"/>
        </w:rPr>
        <w:t>53 154,0</w:t>
      </w:r>
      <w:r>
        <w:rPr>
          <w:sz w:val="25"/>
          <w:szCs w:val="25"/>
        </w:rPr>
        <w:t xml:space="preserve"> тыс.руб. или 1,4%. </w:t>
      </w:r>
      <w:r w:rsidR="00EA0E63">
        <w:t>Информация приведена ниже в таблице.</w:t>
      </w:r>
    </w:p>
    <w:p w:rsidR="001501A0" w:rsidRDefault="001501A0" w:rsidP="00EA0E63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</w:p>
    <w:p w:rsidR="001501A0" w:rsidRDefault="001501A0" w:rsidP="00EA0E63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</w:p>
    <w:p w:rsidR="00EA0E63" w:rsidRPr="00EA0E63" w:rsidRDefault="00EA0E63" w:rsidP="00EA0E63">
      <w:pPr>
        <w:autoSpaceDE w:val="0"/>
        <w:autoSpaceDN w:val="0"/>
        <w:adjustRightInd w:val="0"/>
        <w:ind w:firstLine="567"/>
        <w:jc w:val="right"/>
        <w:rPr>
          <w:sz w:val="20"/>
          <w:szCs w:val="20"/>
        </w:rPr>
      </w:pPr>
      <w:proofErr w:type="spellStart"/>
      <w:r w:rsidRPr="00EA0E63">
        <w:rPr>
          <w:sz w:val="20"/>
          <w:szCs w:val="20"/>
        </w:rPr>
        <w:lastRenderedPageBreak/>
        <w:t>тыс</w:t>
      </w:r>
      <w:proofErr w:type="gramStart"/>
      <w:r w:rsidRPr="00EA0E63">
        <w:rPr>
          <w:sz w:val="20"/>
          <w:szCs w:val="20"/>
        </w:rPr>
        <w:t>.р</w:t>
      </w:r>
      <w:proofErr w:type="gramEnd"/>
      <w:r w:rsidRPr="00EA0E63">
        <w:rPr>
          <w:sz w:val="20"/>
          <w:szCs w:val="20"/>
        </w:rPr>
        <w:t>уб</w:t>
      </w:r>
      <w:proofErr w:type="spellEnd"/>
      <w:r w:rsidRPr="00EA0E63">
        <w:rPr>
          <w:sz w:val="20"/>
          <w:szCs w:val="20"/>
        </w:rPr>
        <w:t>.</w:t>
      </w:r>
    </w:p>
    <w:tbl>
      <w:tblPr>
        <w:tblW w:w="9756" w:type="dxa"/>
        <w:tblInd w:w="103" w:type="dxa"/>
        <w:tblLook w:val="04A0" w:firstRow="1" w:lastRow="0" w:firstColumn="1" w:lastColumn="0" w:noHBand="0" w:noVBand="1"/>
      </w:tblPr>
      <w:tblGrid>
        <w:gridCol w:w="3974"/>
        <w:gridCol w:w="1134"/>
        <w:gridCol w:w="1171"/>
        <w:gridCol w:w="1209"/>
        <w:gridCol w:w="1134"/>
        <w:gridCol w:w="1134"/>
      </w:tblGrid>
      <w:tr w:rsidR="00EA0E63" w:rsidRPr="002B1607" w:rsidTr="00961C9A">
        <w:trPr>
          <w:trHeight w:val="300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Проект бюджета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решение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414 500,0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208 790,0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133 177,3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получение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3 594 500,0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4 175 000,0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3 600 271,3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3 915 280,0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3 968 434,0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погашение 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3 180 000,0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3 966 210,0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3 467 094,0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3 915 280,0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3 968 434,0</w:t>
            </w:r>
          </w:p>
        </w:tc>
      </w:tr>
      <w:tr w:rsidR="00EA0E63" w:rsidRPr="002B1607" w:rsidTr="00961C9A">
        <w:trPr>
          <w:trHeight w:val="48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1607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получение бюджетных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353 808,0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358 014,0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377 849,0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385 880,0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394 739,0</w:t>
            </w:r>
          </w:p>
        </w:tc>
      </w:tr>
      <w:tr w:rsidR="00EA0E63" w:rsidRPr="002B1607" w:rsidTr="00961C9A">
        <w:trPr>
          <w:trHeight w:val="30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погашение бюджетных кредитов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353 808,0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358 014,0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377 849,0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385 880,0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63" w:rsidRPr="002B1607" w:rsidRDefault="00EA0E63" w:rsidP="002B1607">
            <w:pPr>
              <w:jc w:val="center"/>
              <w:rPr>
                <w:color w:val="000000"/>
                <w:sz w:val="18"/>
                <w:szCs w:val="18"/>
              </w:rPr>
            </w:pPr>
            <w:r w:rsidRPr="002B1607">
              <w:rPr>
                <w:color w:val="000000"/>
                <w:sz w:val="18"/>
                <w:szCs w:val="18"/>
              </w:rPr>
              <w:t>394 739,0</w:t>
            </w:r>
          </w:p>
        </w:tc>
      </w:tr>
    </w:tbl>
    <w:p w:rsidR="00EA0E63" w:rsidRPr="00AB2EAF" w:rsidRDefault="00EA0E63" w:rsidP="00BE184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F9354B" w:rsidRDefault="00D865F4" w:rsidP="002E2CAF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3215F">
        <w:rPr>
          <w:sz w:val="25"/>
          <w:szCs w:val="25"/>
        </w:rPr>
        <w:t xml:space="preserve">Как и в </w:t>
      </w:r>
      <w:r w:rsidR="0039452A" w:rsidRPr="0033215F">
        <w:rPr>
          <w:sz w:val="25"/>
          <w:szCs w:val="25"/>
        </w:rPr>
        <w:t>201</w:t>
      </w:r>
      <w:r w:rsidR="00F9354B">
        <w:rPr>
          <w:sz w:val="25"/>
          <w:szCs w:val="25"/>
        </w:rPr>
        <w:t>7</w:t>
      </w:r>
      <w:r w:rsidR="0039452A" w:rsidRPr="0033215F">
        <w:rPr>
          <w:sz w:val="25"/>
          <w:szCs w:val="25"/>
        </w:rPr>
        <w:t xml:space="preserve"> году</w:t>
      </w:r>
      <w:r w:rsidRPr="0033215F">
        <w:rPr>
          <w:sz w:val="25"/>
          <w:szCs w:val="25"/>
        </w:rPr>
        <w:t xml:space="preserve"> в </w:t>
      </w:r>
      <w:r w:rsidR="00F356D0" w:rsidRPr="0033215F">
        <w:rPr>
          <w:sz w:val="25"/>
          <w:szCs w:val="25"/>
        </w:rPr>
        <w:t xml:space="preserve">проекте решения </w:t>
      </w:r>
      <w:r w:rsidR="0039452A" w:rsidRPr="0033215F">
        <w:rPr>
          <w:sz w:val="25"/>
          <w:szCs w:val="25"/>
        </w:rPr>
        <w:t>на 201</w:t>
      </w:r>
      <w:r w:rsidR="004738F4">
        <w:rPr>
          <w:sz w:val="25"/>
          <w:szCs w:val="25"/>
        </w:rPr>
        <w:t>8</w:t>
      </w:r>
      <w:r w:rsidR="0039452A" w:rsidRPr="0033215F">
        <w:rPr>
          <w:sz w:val="25"/>
          <w:szCs w:val="25"/>
        </w:rPr>
        <w:t>-20</w:t>
      </w:r>
      <w:r w:rsidR="004738F4">
        <w:rPr>
          <w:sz w:val="25"/>
          <w:szCs w:val="25"/>
        </w:rPr>
        <w:t>20</w:t>
      </w:r>
      <w:r w:rsidR="00F356D0" w:rsidRPr="0033215F">
        <w:rPr>
          <w:sz w:val="25"/>
          <w:szCs w:val="25"/>
        </w:rPr>
        <w:t xml:space="preserve"> годы запланировано привлечение </w:t>
      </w:r>
      <w:r w:rsidR="00F356D0" w:rsidRPr="00070826">
        <w:rPr>
          <w:sz w:val="25"/>
          <w:szCs w:val="25"/>
        </w:rPr>
        <w:t>бюджетных кредитов</w:t>
      </w:r>
      <w:r w:rsidR="00F356D0" w:rsidRPr="0033215F">
        <w:rPr>
          <w:sz w:val="25"/>
          <w:szCs w:val="25"/>
        </w:rPr>
        <w:t xml:space="preserve"> из федерального бюджета на пополнение остатков средств на счете городского бюджета (</w:t>
      </w:r>
      <w:r w:rsidR="004738F4">
        <w:rPr>
          <w:sz w:val="25"/>
          <w:szCs w:val="25"/>
        </w:rPr>
        <w:t>377 849,0</w:t>
      </w:r>
      <w:r w:rsidR="00F356D0" w:rsidRPr="0033215F">
        <w:rPr>
          <w:sz w:val="25"/>
          <w:szCs w:val="25"/>
        </w:rPr>
        <w:t xml:space="preserve"> тыс.руб., </w:t>
      </w:r>
      <w:r w:rsidR="004738F4">
        <w:rPr>
          <w:sz w:val="25"/>
          <w:szCs w:val="25"/>
        </w:rPr>
        <w:t>385 880,0</w:t>
      </w:r>
      <w:r w:rsidR="00F356D0" w:rsidRPr="0033215F">
        <w:rPr>
          <w:sz w:val="25"/>
          <w:szCs w:val="25"/>
        </w:rPr>
        <w:t xml:space="preserve"> тыс.руб. и </w:t>
      </w:r>
      <w:r w:rsidR="004738F4">
        <w:rPr>
          <w:sz w:val="25"/>
          <w:szCs w:val="25"/>
        </w:rPr>
        <w:t>394 739,0</w:t>
      </w:r>
      <w:r w:rsidR="00F356D0" w:rsidRPr="0033215F">
        <w:rPr>
          <w:sz w:val="25"/>
          <w:szCs w:val="25"/>
        </w:rPr>
        <w:t xml:space="preserve"> тыс.руб. соответственно).</w:t>
      </w:r>
      <w:r w:rsidR="00F56A1A" w:rsidRPr="0033215F">
        <w:rPr>
          <w:sz w:val="25"/>
          <w:szCs w:val="25"/>
        </w:rPr>
        <w:t xml:space="preserve"> </w:t>
      </w:r>
      <w:r w:rsidR="009214F7">
        <w:rPr>
          <w:sz w:val="25"/>
          <w:szCs w:val="25"/>
        </w:rPr>
        <w:t xml:space="preserve">Привлечение бюджетных кредитов на очередной финансовый год и на плановый период запланировано в большем размере по сравнению с плановыми показателями предыдущего периода: в 2018 году – на </w:t>
      </w:r>
      <w:r w:rsidR="00D12D2E">
        <w:rPr>
          <w:sz w:val="25"/>
          <w:szCs w:val="25"/>
        </w:rPr>
        <w:t>5,5</w:t>
      </w:r>
      <w:r w:rsidR="009214F7">
        <w:rPr>
          <w:sz w:val="25"/>
          <w:szCs w:val="25"/>
        </w:rPr>
        <w:t xml:space="preserve">%, в 2019 году – на </w:t>
      </w:r>
      <w:r w:rsidR="00D12D2E">
        <w:rPr>
          <w:sz w:val="25"/>
          <w:szCs w:val="25"/>
        </w:rPr>
        <w:t>2,1</w:t>
      </w:r>
      <w:r w:rsidR="009214F7">
        <w:rPr>
          <w:sz w:val="25"/>
          <w:szCs w:val="25"/>
        </w:rPr>
        <w:t>%, в 20</w:t>
      </w:r>
      <w:r w:rsidR="00095B3A">
        <w:rPr>
          <w:sz w:val="25"/>
          <w:szCs w:val="25"/>
        </w:rPr>
        <w:t>20</w:t>
      </w:r>
      <w:r w:rsidR="009214F7">
        <w:rPr>
          <w:sz w:val="25"/>
          <w:szCs w:val="25"/>
        </w:rPr>
        <w:t xml:space="preserve"> году – </w:t>
      </w:r>
      <w:proofErr w:type="gramStart"/>
      <w:r w:rsidR="009214F7">
        <w:rPr>
          <w:sz w:val="25"/>
          <w:szCs w:val="25"/>
        </w:rPr>
        <w:t>на</w:t>
      </w:r>
      <w:proofErr w:type="gramEnd"/>
      <w:r w:rsidR="009214F7">
        <w:rPr>
          <w:sz w:val="25"/>
          <w:szCs w:val="25"/>
        </w:rPr>
        <w:t xml:space="preserve"> </w:t>
      </w:r>
      <w:r w:rsidR="00D12D2E">
        <w:rPr>
          <w:sz w:val="25"/>
          <w:szCs w:val="25"/>
        </w:rPr>
        <w:t>2,3</w:t>
      </w:r>
      <w:r w:rsidR="009214F7">
        <w:rPr>
          <w:sz w:val="25"/>
          <w:szCs w:val="25"/>
        </w:rPr>
        <w:t>%.</w:t>
      </w:r>
    </w:p>
    <w:p w:rsidR="00E56D24" w:rsidRPr="001248E0" w:rsidRDefault="00FA3726" w:rsidP="002E2CAF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1248E0">
        <w:rPr>
          <w:sz w:val="25"/>
          <w:szCs w:val="25"/>
        </w:rPr>
        <w:t>О</w:t>
      </w:r>
      <w:r w:rsidR="00BD2717" w:rsidRPr="001248E0">
        <w:rPr>
          <w:sz w:val="25"/>
          <w:szCs w:val="25"/>
        </w:rPr>
        <w:t xml:space="preserve">бъем муниципальных заимствований на </w:t>
      </w:r>
      <w:r w:rsidRPr="001248E0">
        <w:rPr>
          <w:sz w:val="25"/>
          <w:szCs w:val="25"/>
        </w:rPr>
        <w:t>201</w:t>
      </w:r>
      <w:r w:rsidR="002B01B2">
        <w:rPr>
          <w:sz w:val="25"/>
          <w:szCs w:val="25"/>
        </w:rPr>
        <w:t>8</w:t>
      </w:r>
      <w:r w:rsidR="00717567">
        <w:rPr>
          <w:sz w:val="25"/>
          <w:szCs w:val="25"/>
        </w:rPr>
        <w:t xml:space="preserve"> </w:t>
      </w:r>
      <w:r w:rsidRPr="001248E0">
        <w:rPr>
          <w:sz w:val="25"/>
          <w:szCs w:val="25"/>
        </w:rPr>
        <w:t>-</w:t>
      </w:r>
      <w:r w:rsidR="00717567">
        <w:rPr>
          <w:sz w:val="25"/>
          <w:szCs w:val="25"/>
        </w:rPr>
        <w:t xml:space="preserve"> </w:t>
      </w:r>
      <w:r w:rsidRPr="001248E0">
        <w:rPr>
          <w:sz w:val="25"/>
          <w:szCs w:val="25"/>
        </w:rPr>
        <w:t>20</w:t>
      </w:r>
      <w:r w:rsidR="00B039DD">
        <w:rPr>
          <w:sz w:val="25"/>
          <w:szCs w:val="25"/>
        </w:rPr>
        <w:t>20</w:t>
      </w:r>
      <w:r w:rsidR="00BD2717" w:rsidRPr="001248E0">
        <w:rPr>
          <w:sz w:val="25"/>
          <w:szCs w:val="25"/>
        </w:rPr>
        <w:t xml:space="preserve"> год</w:t>
      </w:r>
      <w:r w:rsidRPr="001248E0">
        <w:rPr>
          <w:sz w:val="25"/>
          <w:szCs w:val="25"/>
        </w:rPr>
        <w:t xml:space="preserve">ы запланирован с учетом ограничения, </w:t>
      </w:r>
      <w:r w:rsidR="00BD2717" w:rsidRPr="001248E0">
        <w:rPr>
          <w:sz w:val="25"/>
          <w:szCs w:val="25"/>
        </w:rPr>
        <w:t xml:space="preserve"> </w:t>
      </w:r>
      <w:r w:rsidRPr="001248E0">
        <w:rPr>
          <w:sz w:val="25"/>
          <w:szCs w:val="25"/>
        </w:rPr>
        <w:t xml:space="preserve">установленного </w:t>
      </w:r>
      <w:r w:rsidR="00BD2717" w:rsidRPr="001248E0">
        <w:rPr>
          <w:sz w:val="25"/>
          <w:szCs w:val="25"/>
        </w:rPr>
        <w:t>ст.106 БК РФ</w:t>
      </w:r>
      <w:r w:rsidR="001248E0" w:rsidRPr="001248E0">
        <w:rPr>
          <w:sz w:val="25"/>
          <w:szCs w:val="25"/>
        </w:rPr>
        <w:t>.</w:t>
      </w:r>
    </w:p>
    <w:p w:rsidR="002A7216" w:rsidRDefault="00E56D24" w:rsidP="002E2CAF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1A201F">
        <w:rPr>
          <w:sz w:val="25"/>
          <w:szCs w:val="25"/>
        </w:rPr>
        <w:t>О</w:t>
      </w:r>
      <w:r w:rsidR="009B442C" w:rsidRPr="001A201F">
        <w:rPr>
          <w:sz w:val="25"/>
          <w:szCs w:val="25"/>
        </w:rPr>
        <w:t xml:space="preserve">бъем средств, направляемых </w:t>
      </w:r>
      <w:r w:rsidRPr="001A201F">
        <w:rPr>
          <w:sz w:val="25"/>
          <w:szCs w:val="25"/>
        </w:rPr>
        <w:t>в 201</w:t>
      </w:r>
      <w:r w:rsidR="008817B7">
        <w:rPr>
          <w:sz w:val="25"/>
          <w:szCs w:val="25"/>
        </w:rPr>
        <w:t>8</w:t>
      </w:r>
      <w:r w:rsidRPr="001A201F">
        <w:rPr>
          <w:sz w:val="25"/>
          <w:szCs w:val="25"/>
        </w:rPr>
        <w:t xml:space="preserve"> – 20</w:t>
      </w:r>
      <w:r w:rsidR="008817B7">
        <w:rPr>
          <w:sz w:val="25"/>
          <w:szCs w:val="25"/>
        </w:rPr>
        <w:t>20</w:t>
      </w:r>
      <w:r w:rsidRPr="001A201F">
        <w:rPr>
          <w:sz w:val="25"/>
          <w:szCs w:val="25"/>
        </w:rPr>
        <w:t xml:space="preserve"> годах </w:t>
      </w:r>
      <w:r w:rsidR="009B442C" w:rsidRPr="001A201F">
        <w:rPr>
          <w:sz w:val="25"/>
          <w:szCs w:val="25"/>
        </w:rPr>
        <w:t xml:space="preserve">на погашение </w:t>
      </w:r>
      <w:r w:rsidR="008817B7">
        <w:rPr>
          <w:sz w:val="25"/>
          <w:szCs w:val="25"/>
        </w:rPr>
        <w:t xml:space="preserve">бюджетных </w:t>
      </w:r>
      <w:r w:rsidR="009B442C" w:rsidRPr="001A201F">
        <w:rPr>
          <w:sz w:val="25"/>
          <w:szCs w:val="25"/>
        </w:rPr>
        <w:t xml:space="preserve">кредитов </w:t>
      </w:r>
      <w:r w:rsidR="008817B7">
        <w:rPr>
          <w:sz w:val="25"/>
          <w:szCs w:val="25"/>
        </w:rPr>
        <w:t>от других бюджетов бюджетной системы Российской Федерации, запланирован в объеме, равном объему заимствований</w:t>
      </w:r>
      <w:r w:rsidR="003F3FA0">
        <w:rPr>
          <w:sz w:val="25"/>
          <w:szCs w:val="25"/>
        </w:rPr>
        <w:t>. О</w:t>
      </w:r>
      <w:r w:rsidR="007E0FCE" w:rsidRPr="001A201F">
        <w:rPr>
          <w:sz w:val="25"/>
          <w:szCs w:val="25"/>
        </w:rPr>
        <w:t xml:space="preserve">бъем средств, направляемых </w:t>
      </w:r>
      <w:r w:rsidR="008817B7">
        <w:rPr>
          <w:sz w:val="25"/>
          <w:szCs w:val="25"/>
        </w:rPr>
        <w:t>на погашение кредитов кредитных организаций в валюте Рос</w:t>
      </w:r>
      <w:r w:rsidR="007E0FCE">
        <w:rPr>
          <w:sz w:val="25"/>
          <w:szCs w:val="25"/>
        </w:rPr>
        <w:t>сийской Федерации</w:t>
      </w:r>
      <w:r w:rsidR="003F3FA0">
        <w:rPr>
          <w:sz w:val="25"/>
          <w:szCs w:val="25"/>
        </w:rPr>
        <w:t xml:space="preserve">, запланирован на 2018 год в размере меньшем на </w:t>
      </w:r>
      <w:r w:rsidR="003F3FA0" w:rsidRPr="003F3FA0">
        <w:rPr>
          <w:sz w:val="25"/>
          <w:szCs w:val="25"/>
        </w:rPr>
        <w:t>133 177,3</w:t>
      </w:r>
      <w:r w:rsidR="003F3FA0">
        <w:rPr>
          <w:sz w:val="25"/>
          <w:szCs w:val="25"/>
        </w:rPr>
        <w:t xml:space="preserve"> тыс</w:t>
      </w:r>
      <w:proofErr w:type="gramStart"/>
      <w:r w:rsidR="003F3FA0">
        <w:rPr>
          <w:sz w:val="25"/>
          <w:szCs w:val="25"/>
        </w:rPr>
        <w:t>.р</w:t>
      </w:r>
      <w:proofErr w:type="gramEnd"/>
      <w:r w:rsidR="003F3FA0">
        <w:rPr>
          <w:sz w:val="25"/>
          <w:szCs w:val="25"/>
        </w:rPr>
        <w:t>уб. или 3,7% по сравнению с объемом заимствований</w:t>
      </w:r>
      <w:r w:rsidR="00360015">
        <w:rPr>
          <w:sz w:val="25"/>
          <w:szCs w:val="25"/>
        </w:rPr>
        <w:t xml:space="preserve"> на данный период</w:t>
      </w:r>
      <w:r w:rsidR="003F3FA0">
        <w:rPr>
          <w:sz w:val="25"/>
          <w:szCs w:val="25"/>
        </w:rPr>
        <w:t xml:space="preserve"> и на </w:t>
      </w:r>
      <w:r w:rsidR="003F3FA0" w:rsidRPr="003F3FA0">
        <w:rPr>
          <w:sz w:val="25"/>
          <w:szCs w:val="25"/>
        </w:rPr>
        <w:t>499 116,0</w:t>
      </w:r>
      <w:r w:rsidR="003F3FA0">
        <w:rPr>
          <w:sz w:val="25"/>
          <w:szCs w:val="25"/>
        </w:rPr>
        <w:t xml:space="preserve"> тыс.руб. или 12,6% по сравнению с аналогичным плановым показателем 2017 года, на 2019 и 2020 годы – в объемах, равных объемам заимствований. </w:t>
      </w:r>
    </w:p>
    <w:p w:rsidR="00CD6E58" w:rsidRPr="001A201F" w:rsidRDefault="003176E0" w:rsidP="00BE184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B42EA">
        <w:rPr>
          <w:sz w:val="25"/>
          <w:szCs w:val="25"/>
          <w:u w:val="single"/>
        </w:rPr>
        <w:t>О</w:t>
      </w:r>
      <w:r w:rsidR="003D3C42" w:rsidRPr="002B42EA">
        <w:rPr>
          <w:sz w:val="25"/>
          <w:szCs w:val="25"/>
          <w:u w:val="single"/>
        </w:rPr>
        <w:t>бъем расходов на обслуживание муниципального долга</w:t>
      </w:r>
      <w:r w:rsidR="003D3C42" w:rsidRPr="001A201F">
        <w:rPr>
          <w:sz w:val="25"/>
          <w:szCs w:val="25"/>
        </w:rPr>
        <w:t xml:space="preserve"> муниципального образования «Город Архангельск» на 201</w:t>
      </w:r>
      <w:r w:rsidR="003F3FA0">
        <w:rPr>
          <w:sz w:val="25"/>
          <w:szCs w:val="25"/>
        </w:rPr>
        <w:t>8-2020</w:t>
      </w:r>
      <w:r w:rsidRPr="001A201F">
        <w:rPr>
          <w:sz w:val="25"/>
          <w:szCs w:val="25"/>
        </w:rPr>
        <w:t xml:space="preserve"> годы </w:t>
      </w:r>
      <w:r w:rsidR="00EE459C" w:rsidRPr="001A201F">
        <w:rPr>
          <w:sz w:val="25"/>
          <w:szCs w:val="25"/>
        </w:rPr>
        <w:t xml:space="preserve">по проекту решения </w:t>
      </w:r>
      <w:r w:rsidRPr="001A201F">
        <w:rPr>
          <w:sz w:val="25"/>
          <w:szCs w:val="25"/>
        </w:rPr>
        <w:t>предусмотрен в</w:t>
      </w:r>
      <w:r w:rsidR="00EE459C" w:rsidRPr="001A201F">
        <w:rPr>
          <w:sz w:val="25"/>
          <w:szCs w:val="25"/>
        </w:rPr>
        <w:t xml:space="preserve"> суммах</w:t>
      </w:r>
      <w:r w:rsidRPr="001A201F">
        <w:rPr>
          <w:sz w:val="25"/>
          <w:szCs w:val="25"/>
        </w:rPr>
        <w:t xml:space="preserve"> </w:t>
      </w:r>
      <w:r w:rsidR="00D96FA1" w:rsidRPr="001A201F">
        <w:rPr>
          <w:sz w:val="25"/>
          <w:szCs w:val="25"/>
        </w:rPr>
        <w:t>3</w:t>
      </w:r>
      <w:r w:rsidR="003F3FA0">
        <w:rPr>
          <w:sz w:val="25"/>
          <w:szCs w:val="25"/>
        </w:rPr>
        <w:t>44</w:t>
      </w:r>
      <w:r w:rsidR="003D3C42" w:rsidRPr="001A201F">
        <w:rPr>
          <w:sz w:val="25"/>
          <w:szCs w:val="25"/>
        </w:rPr>
        <w:t> 000,0 тыс</w:t>
      </w:r>
      <w:r w:rsidR="00D5593B" w:rsidRPr="001A201F">
        <w:rPr>
          <w:sz w:val="25"/>
          <w:szCs w:val="25"/>
        </w:rPr>
        <w:t>.</w:t>
      </w:r>
      <w:r w:rsidR="003D3C42" w:rsidRPr="001A201F">
        <w:rPr>
          <w:sz w:val="25"/>
          <w:szCs w:val="25"/>
        </w:rPr>
        <w:t xml:space="preserve">руб., </w:t>
      </w:r>
      <w:r w:rsidR="00D96FA1" w:rsidRPr="001A201F">
        <w:rPr>
          <w:sz w:val="25"/>
          <w:szCs w:val="25"/>
        </w:rPr>
        <w:t>3</w:t>
      </w:r>
      <w:r w:rsidR="003F3FA0">
        <w:rPr>
          <w:sz w:val="25"/>
          <w:szCs w:val="25"/>
        </w:rPr>
        <w:t>89</w:t>
      </w:r>
      <w:r w:rsidR="003D3C42" w:rsidRPr="001A201F">
        <w:rPr>
          <w:sz w:val="25"/>
          <w:szCs w:val="25"/>
        </w:rPr>
        <w:t xml:space="preserve"> 000,0 тыс.руб. и </w:t>
      </w:r>
      <w:r w:rsidR="002A77B6" w:rsidRPr="001A201F">
        <w:rPr>
          <w:sz w:val="25"/>
          <w:szCs w:val="25"/>
        </w:rPr>
        <w:t>3</w:t>
      </w:r>
      <w:r w:rsidR="003F3FA0">
        <w:rPr>
          <w:sz w:val="25"/>
          <w:szCs w:val="25"/>
        </w:rPr>
        <w:t>89</w:t>
      </w:r>
      <w:r w:rsidR="00B34EDE" w:rsidRPr="001A201F">
        <w:rPr>
          <w:sz w:val="25"/>
          <w:szCs w:val="25"/>
        </w:rPr>
        <w:t> 000,0 тыс.руб. соответственно</w:t>
      </w:r>
      <w:r w:rsidR="00CD6E58" w:rsidRPr="001A201F">
        <w:rPr>
          <w:sz w:val="25"/>
          <w:szCs w:val="25"/>
        </w:rPr>
        <w:t xml:space="preserve">. </w:t>
      </w:r>
      <w:r w:rsidR="00EE459C" w:rsidRPr="001A201F">
        <w:rPr>
          <w:sz w:val="25"/>
          <w:szCs w:val="25"/>
        </w:rPr>
        <w:t>Расходы на обслуживание муниципального долга на 201</w:t>
      </w:r>
      <w:r w:rsidR="002B42EA">
        <w:rPr>
          <w:sz w:val="25"/>
          <w:szCs w:val="25"/>
        </w:rPr>
        <w:t>7</w:t>
      </w:r>
      <w:r w:rsidR="00EE459C" w:rsidRPr="001A201F">
        <w:rPr>
          <w:sz w:val="25"/>
          <w:szCs w:val="25"/>
        </w:rPr>
        <w:t xml:space="preserve"> год</w:t>
      </w:r>
      <w:r w:rsidR="001E3888">
        <w:rPr>
          <w:sz w:val="25"/>
          <w:szCs w:val="25"/>
        </w:rPr>
        <w:t xml:space="preserve"> </w:t>
      </w:r>
      <w:r w:rsidR="00EE459C" w:rsidRPr="001A201F">
        <w:rPr>
          <w:sz w:val="25"/>
          <w:szCs w:val="25"/>
        </w:rPr>
        <w:t xml:space="preserve">утверждены </w:t>
      </w:r>
      <w:r w:rsidR="001A201F" w:rsidRPr="001A201F">
        <w:rPr>
          <w:sz w:val="25"/>
          <w:szCs w:val="25"/>
        </w:rPr>
        <w:t>р</w:t>
      </w:r>
      <w:r w:rsidR="00EE459C" w:rsidRPr="001A201F">
        <w:rPr>
          <w:sz w:val="25"/>
          <w:szCs w:val="25"/>
        </w:rPr>
        <w:t xml:space="preserve">ешением </w:t>
      </w:r>
      <w:r w:rsidR="00DA556B" w:rsidRPr="001A201F">
        <w:rPr>
          <w:sz w:val="25"/>
          <w:szCs w:val="25"/>
        </w:rPr>
        <w:t>Архангельской городской Думы от 1</w:t>
      </w:r>
      <w:r w:rsidR="002B42EA">
        <w:rPr>
          <w:sz w:val="25"/>
          <w:szCs w:val="25"/>
        </w:rPr>
        <w:t>4</w:t>
      </w:r>
      <w:r w:rsidR="00DA556B" w:rsidRPr="001A201F">
        <w:rPr>
          <w:sz w:val="25"/>
          <w:szCs w:val="25"/>
        </w:rPr>
        <w:t>.12.201</w:t>
      </w:r>
      <w:r w:rsidR="002B42EA">
        <w:rPr>
          <w:sz w:val="25"/>
          <w:szCs w:val="25"/>
        </w:rPr>
        <w:t>6</w:t>
      </w:r>
      <w:r w:rsidR="00DA556B" w:rsidRPr="001A201F">
        <w:rPr>
          <w:sz w:val="25"/>
          <w:szCs w:val="25"/>
        </w:rPr>
        <w:t xml:space="preserve"> №</w:t>
      </w:r>
      <w:r w:rsidR="002B42EA">
        <w:rPr>
          <w:sz w:val="25"/>
          <w:szCs w:val="25"/>
        </w:rPr>
        <w:t>46</w:t>
      </w:r>
      <w:r w:rsidR="00DA556B" w:rsidRPr="001A201F">
        <w:rPr>
          <w:sz w:val="25"/>
          <w:szCs w:val="25"/>
        </w:rPr>
        <w:t xml:space="preserve">0 «О городском бюджете </w:t>
      </w:r>
      <w:r w:rsidR="002B42EA">
        <w:rPr>
          <w:sz w:val="25"/>
          <w:szCs w:val="25"/>
        </w:rPr>
        <w:t>на 2017</w:t>
      </w:r>
      <w:r w:rsidR="00EE459C" w:rsidRPr="001A201F">
        <w:rPr>
          <w:sz w:val="25"/>
          <w:szCs w:val="25"/>
        </w:rPr>
        <w:t xml:space="preserve"> год и на плановый период 2018 и 2019 годов</w:t>
      </w:r>
      <w:r w:rsidR="00DA556B" w:rsidRPr="001A201F">
        <w:rPr>
          <w:sz w:val="25"/>
          <w:szCs w:val="25"/>
        </w:rPr>
        <w:t>»</w:t>
      </w:r>
      <w:r w:rsidR="001E3888">
        <w:rPr>
          <w:sz w:val="25"/>
          <w:szCs w:val="25"/>
        </w:rPr>
        <w:t xml:space="preserve"> </w:t>
      </w:r>
      <w:r w:rsidR="00DA556B" w:rsidRPr="001A201F">
        <w:rPr>
          <w:sz w:val="25"/>
          <w:szCs w:val="25"/>
        </w:rPr>
        <w:t xml:space="preserve">в сумме </w:t>
      </w:r>
      <w:r w:rsidR="00CD5AA5" w:rsidRPr="00CD5AA5">
        <w:rPr>
          <w:sz w:val="25"/>
          <w:szCs w:val="25"/>
        </w:rPr>
        <w:t>331 455,0</w:t>
      </w:r>
      <w:r w:rsidR="002B42EA" w:rsidRPr="002B42EA">
        <w:rPr>
          <w:sz w:val="25"/>
          <w:szCs w:val="25"/>
        </w:rPr>
        <w:t xml:space="preserve"> </w:t>
      </w:r>
      <w:r w:rsidR="00EE459C" w:rsidRPr="001A201F">
        <w:rPr>
          <w:sz w:val="25"/>
          <w:szCs w:val="25"/>
        </w:rPr>
        <w:t>тыс.руб.</w:t>
      </w:r>
      <w:r w:rsidR="001E3888">
        <w:rPr>
          <w:sz w:val="25"/>
          <w:szCs w:val="25"/>
        </w:rPr>
        <w:t>, о</w:t>
      </w:r>
      <w:r w:rsidR="00EE459C" w:rsidRPr="001A201F">
        <w:rPr>
          <w:sz w:val="25"/>
          <w:szCs w:val="25"/>
        </w:rPr>
        <w:t>жидаемая оценка исполнения за 201</w:t>
      </w:r>
      <w:r w:rsidR="003F3FA0">
        <w:rPr>
          <w:sz w:val="25"/>
          <w:szCs w:val="25"/>
        </w:rPr>
        <w:t>7</w:t>
      </w:r>
      <w:r w:rsidR="00EE459C" w:rsidRPr="001A201F">
        <w:rPr>
          <w:sz w:val="25"/>
          <w:szCs w:val="25"/>
        </w:rPr>
        <w:t xml:space="preserve"> год </w:t>
      </w:r>
      <w:r w:rsidR="007F3871" w:rsidRPr="001A201F">
        <w:rPr>
          <w:sz w:val="25"/>
          <w:szCs w:val="25"/>
        </w:rPr>
        <w:t xml:space="preserve">– </w:t>
      </w:r>
      <w:r w:rsidR="003F3FA0">
        <w:rPr>
          <w:sz w:val="25"/>
          <w:szCs w:val="25"/>
        </w:rPr>
        <w:t>331 455,0</w:t>
      </w:r>
      <w:r w:rsidR="007F3871" w:rsidRPr="001A201F">
        <w:rPr>
          <w:sz w:val="25"/>
          <w:szCs w:val="25"/>
        </w:rPr>
        <w:t xml:space="preserve"> </w:t>
      </w:r>
      <w:r w:rsidR="00EE459C" w:rsidRPr="001A201F">
        <w:rPr>
          <w:sz w:val="25"/>
          <w:szCs w:val="25"/>
        </w:rPr>
        <w:t>тыс.руб.</w:t>
      </w:r>
      <w:r w:rsidR="00B34EDE" w:rsidRPr="001A201F">
        <w:rPr>
          <w:sz w:val="25"/>
          <w:szCs w:val="25"/>
        </w:rPr>
        <w:t xml:space="preserve"> </w:t>
      </w:r>
    </w:p>
    <w:p w:rsidR="00CD5AA5" w:rsidRDefault="00B34EDE" w:rsidP="00BE1841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2E2CAF">
        <w:rPr>
          <w:sz w:val="25"/>
          <w:szCs w:val="25"/>
        </w:rPr>
        <w:t xml:space="preserve">Таким образом, </w:t>
      </w:r>
      <w:r w:rsidR="00245162">
        <w:rPr>
          <w:sz w:val="25"/>
          <w:szCs w:val="25"/>
        </w:rPr>
        <w:t xml:space="preserve">плановые показатели </w:t>
      </w:r>
      <w:r w:rsidRPr="002E2CAF">
        <w:rPr>
          <w:sz w:val="25"/>
          <w:szCs w:val="25"/>
        </w:rPr>
        <w:t>расход</w:t>
      </w:r>
      <w:r w:rsidR="00245162">
        <w:rPr>
          <w:sz w:val="25"/>
          <w:szCs w:val="25"/>
        </w:rPr>
        <w:t>ов</w:t>
      </w:r>
      <w:r w:rsidRPr="002E2CAF">
        <w:rPr>
          <w:sz w:val="25"/>
          <w:szCs w:val="25"/>
        </w:rPr>
        <w:t xml:space="preserve"> на обслуживание муниципального долга </w:t>
      </w:r>
      <w:r w:rsidR="00245162" w:rsidRPr="002E2CAF">
        <w:rPr>
          <w:sz w:val="25"/>
          <w:szCs w:val="25"/>
        </w:rPr>
        <w:t xml:space="preserve">по </w:t>
      </w:r>
      <w:r w:rsidR="00245162">
        <w:rPr>
          <w:sz w:val="25"/>
          <w:szCs w:val="25"/>
        </w:rPr>
        <w:t xml:space="preserve">представленному </w:t>
      </w:r>
      <w:r w:rsidR="00245162" w:rsidRPr="002E2CAF">
        <w:rPr>
          <w:sz w:val="25"/>
          <w:szCs w:val="25"/>
        </w:rPr>
        <w:t>проекту решения на 201</w:t>
      </w:r>
      <w:r w:rsidR="00245162">
        <w:rPr>
          <w:sz w:val="25"/>
          <w:szCs w:val="25"/>
        </w:rPr>
        <w:t xml:space="preserve">8 год увеличиваются на </w:t>
      </w:r>
      <w:r w:rsidR="00245162" w:rsidRPr="00245162">
        <w:rPr>
          <w:sz w:val="25"/>
          <w:szCs w:val="25"/>
        </w:rPr>
        <w:t>12 545,0</w:t>
      </w:r>
      <w:r w:rsidR="00245162">
        <w:rPr>
          <w:sz w:val="25"/>
          <w:szCs w:val="25"/>
        </w:rPr>
        <w:t xml:space="preserve"> тыс</w:t>
      </w:r>
      <w:proofErr w:type="gramStart"/>
      <w:r w:rsidR="00245162">
        <w:rPr>
          <w:sz w:val="25"/>
          <w:szCs w:val="25"/>
        </w:rPr>
        <w:t>.р</w:t>
      </w:r>
      <w:proofErr w:type="gramEnd"/>
      <w:r w:rsidR="00245162">
        <w:rPr>
          <w:sz w:val="25"/>
          <w:szCs w:val="25"/>
        </w:rPr>
        <w:t xml:space="preserve">уб. или 3,8% </w:t>
      </w:r>
      <w:r w:rsidR="00CD5AA5" w:rsidRPr="002E2CAF">
        <w:rPr>
          <w:sz w:val="25"/>
          <w:szCs w:val="25"/>
        </w:rPr>
        <w:t xml:space="preserve">по сравнению с бюджетными ассигнованиями, запланированными решением Архангельской городской Думы </w:t>
      </w:r>
      <w:r w:rsidR="00CD5AA5" w:rsidRPr="001A201F">
        <w:rPr>
          <w:sz w:val="25"/>
          <w:szCs w:val="25"/>
        </w:rPr>
        <w:t xml:space="preserve">от </w:t>
      </w:r>
      <w:r w:rsidR="00CD5AA5">
        <w:rPr>
          <w:sz w:val="25"/>
          <w:szCs w:val="25"/>
        </w:rPr>
        <w:t>14.</w:t>
      </w:r>
      <w:r w:rsidR="00CD5AA5" w:rsidRPr="001A201F">
        <w:rPr>
          <w:sz w:val="25"/>
          <w:szCs w:val="25"/>
        </w:rPr>
        <w:t>12.201</w:t>
      </w:r>
      <w:r w:rsidR="00CD5AA5">
        <w:rPr>
          <w:sz w:val="25"/>
          <w:szCs w:val="25"/>
        </w:rPr>
        <w:t>6 №460 «О городском бюджете на 2017</w:t>
      </w:r>
      <w:r w:rsidR="00CD5AA5" w:rsidRPr="001A201F">
        <w:rPr>
          <w:sz w:val="25"/>
          <w:szCs w:val="25"/>
        </w:rPr>
        <w:t xml:space="preserve"> год и на плановый период 2018 и 2019 годов</w:t>
      </w:r>
      <w:r w:rsidR="00CD5AA5">
        <w:rPr>
          <w:sz w:val="25"/>
          <w:szCs w:val="25"/>
        </w:rPr>
        <w:t xml:space="preserve">» </w:t>
      </w:r>
      <w:r w:rsidR="00CD5AA5" w:rsidRPr="00FE76D7">
        <w:rPr>
          <w:sz w:val="25"/>
          <w:szCs w:val="25"/>
        </w:rPr>
        <w:t>на 2017 год</w:t>
      </w:r>
      <w:r w:rsidR="00CD5AA5">
        <w:rPr>
          <w:sz w:val="25"/>
          <w:szCs w:val="25"/>
        </w:rPr>
        <w:t>,</w:t>
      </w:r>
      <w:r w:rsidR="00CD5AA5" w:rsidRPr="00FE76D7">
        <w:rPr>
          <w:sz w:val="25"/>
          <w:szCs w:val="25"/>
        </w:rPr>
        <w:t xml:space="preserve"> </w:t>
      </w:r>
      <w:r w:rsidR="00245162">
        <w:rPr>
          <w:sz w:val="25"/>
          <w:szCs w:val="25"/>
        </w:rPr>
        <w:t xml:space="preserve">на 2019 год - увеличиваются на </w:t>
      </w:r>
      <w:r w:rsidR="00245162" w:rsidRPr="00245162">
        <w:rPr>
          <w:sz w:val="25"/>
          <w:szCs w:val="25"/>
        </w:rPr>
        <w:t xml:space="preserve">45 000,0 </w:t>
      </w:r>
      <w:r w:rsidR="00245162">
        <w:rPr>
          <w:sz w:val="25"/>
          <w:szCs w:val="25"/>
        </w:rPr>
        <w:t>тыс</w:t>
      </w:r>
      <w:proofErr w:type="gramStart"/>
      <w:r w:rsidR="00245162">
        <w:rPr>
          <w:sz w:val="25"/>
          <w:szCs w:val="25"/>
        </w:rPr>
        <w:t>.р</w:t>
      </w:r>
      <w:proofErr w:type="gramEnd"/>
      <w:r w:rsidR="00245162">
        <w:rPr>
          <w:sz w:val="25"/>
          <w:szCs w:val="25"/>
        </w:rPr>
        <w:t xml:space="preserve">уб. или 13,1% по отношению к 2018 году, на 2020 год – </w:t>
      </w:r>
      <w:r w:rsidR="00947E7C">
        <w:rPr>
          <w:sz w:val="25"/>
          <w:szCs w:val="25"/>
        </w:rPr>
        <w:t xml:space="preserve">запланированы </w:t>
      </w:r>
      <w:r w:rsidR="00245162">
        <w:rPr>
          <w:sz w:val="25"/>
          <w:szCs w:val="25"/>
        </w:rPr>
        <w:t>на уровне показателя 2019 года.</w:t>
      </w:r>
    </w:p>
    <w:p w:rsidR="00996081" w:rsidRPr="002E2CAF" w:rsidRDefault="00B81CE2" w:rsidP="00FD6285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proofErr w:type="gramStart"/>
      <w:r w:rsidRPr="002E2CAF">
        <w:rPr>
          <w:sz w:val="25"/>
          <w:szCs w:val="25"/>
        </w:rPr>
        <w:t>Доля расходов на обслуживание муниципального долга в общем объеме расходов</w:t>
      </w:r>
      <w:r w:rsidR="00E0614E" w:rsidRPr="002E2CAF">
        <w:rPr>
          <w:sz w:val="25"/>
          <w:szCs w:val="25"/>
        </w:rPr>
        <w:t xml:space="preserve"> городского </w:t>
      </w:r>
      <w:r w:rsidRPr="002E2CAF">
        <w:rPr>
          <w:sz w:val="25"/>
          <w:szCs w:val="25"/>
        </w:rPr>
        <w:t xml:space="preserve">бюджета </w:t>
      </w:r>
      <w:r w:rsidR="00996081" w:rsidRPr="002E2CAF">
        <w:rPr>
          <w:sz w:val="25"/>
          <w:szCs w:val="25"/>
        </w:rPr>
        <w:t>по проекту решен</w:t>
      </w:r>
      <w:r w:rsidR="00D15D3D" w:rsidRPr="002E2CAF">
        <w:rPr>
          <w:sz w:val="25"/>
          <w:szCs w:val="25"/>
        </w:rPr>
        <w:t xml:space="preserve">ия </w:t>
      </w:r>
      <w:r w:rsidR="005F2C85" w:rsidRPr="002E2CAF">
        <w:rPr>
          <w:sz w:val="25"/>
          <w:szCs w:val="25"/>
        </w:rPr>
        <w:t>на 201</w:t>
      </w:r>
      <w:r w:rsidR="00617A6D">
        <w:rPr>
          <w:sz w:val="25"/>
          <w:szCs w:val="25"/>
        </w:rPr>
        <w:t>8</w:t>
      </w:r>
      <w:r w:rsidR="00360015">
        <w:rPr>
          <w:sz w:val="25"/>
          <w:szCs w:val="25"/>
        </w:rPr>
        <w:t xml:space="preserve"> </w:t>
      </w:r>
      <w:r w:rsidR="005F2C85" w:rsidRPr="002E2CAF">
        <w:rPr>
          <w:sz w:val="25"/>
          <w:szCs w:val="25"/>
        </w:rPr>
        <w:t>-</w:t>
      </w:r>
      <w:r w:rsidR="00360015">
        <w:rPr>
          <w:sz w:val="25"/>
          <w:szCs w:val="25"/>
        </w:rPr>
        <w:t xml:space="preserve"> </w:t>
      </w:r>
      <w:r w:rsidR="005F2C85" w:rsidRPr="002E2CAF">
        <w:rPr>
          <w:sz w:val="25"/>
          <w:szCs w:val="25"/>
        </w:rPr>
        <w:t>20</w:t>
      </w:r>
      <w:r w:rsidR="00617A6D">
        <w:rPr>
          <w:sz w:val="25"/>
          <w:szCs w:val="25"/>
        </w:rPr>
        <w:t>20</w:t>
      </w:r>
      <w:r w:rsidR="005F2C85" w:rsidRPr="002E2CAF">
        <w:rPr>
          <w:sz w:val="25"/>
          <w:szCs w:val="25"/>
        </w:rPr>
        <w:t xml:space="preserve"> годы </w:t>
      </w:r>
      <w:r w:rsidR="00B34EDE" w:rsidRPr="002E2CAF">
        <w:rPr>
          <w:sz w:val="25"/>
          <w:szCs w:val="25"/>
        </w:rPr>
        <w:t xml:space="preserve">планируется </w:t>
      </w:r>
      <w:r w:rsidR="00360015">
        <w:rPr>
          <w:sz w:val="25"/>
          <w:szCs w:val="25"/>
        </w:rPr>
        <w:t xml:space="preserve">в размере </w:t>
      </w:r>
      <w:r w:rsidR="00D15D3D" w:rsidRPr="002E2CAF">
        <w:rPr>
          <w:sz w:val="25"/>
          <w:szCs w:val="25"/>
        </w:rPr>
        <w:t>4,</w:t>
      </w:r>
      <w:r w:rsidR="004F0496">
        <w:rPr>
          <w:sz w:val="25"/>
          <w:szCs w:val="25"/>
        </w:rPr>
        <w:t>1</w:t>
      </w:r>
      <w:r w:rsidR="00D15D3D" w:rsidRPr="002E2CAF">
        <w:rPr>
          <w:sz w:val="25"/>
          <w:szCs w:val="25"/>
        </w:rPr>
        <w:t xml:space="preserve">%, </w:t>
      </w:r>
      <w:r w:rsidR="004F0496">
        <w:rPr>
          <w:sz w:val="25"/>
          <w:szCs w:val="25"/>
        </w:rPr>
        <w:t>4</w:t>
      </w:r>
      <w:r w:rsidR="00D15D3D" w:rsidRPr="002E2CAF">
        <w:rPr>
          <w:sz w:val="25"/>
          <w:szCs w:val="25"/>
        </w:rPr>
        <w:t>,</w:t>
      </w:r>
      <w:r w:rsidR="004F0496">
        <w:rPr>
          <w:sz w:val="25"/>
          <w:szCs w:val="25"/>
        </w:rPr>
        <w:t>7</w:t>
      </w:r>
      <w:r w:rsidR="00D15D3D" w:rsidRPr="002E2CAF">
        <w:rPr>
          <w:sz w:val="25"/>
          <w:szCs w:val="25"/>
        </w:rPr>
        <w:t xml:space="preserve">% и </w:t>
      </w:r>
      <w:r w:rsidR="004F0496">
        <w:rPr>
          <w:sz w:val="25"/>
          <w:szCs w:val="25"/>
        </w:rPr>
        <w:t>4,6</w:t>
      </w:r>
      <w:r w:rsidR="00996081" w:rsidRPr="002E2CAF">
        <w:rPr>
          <w:sz w:val="25"/>
          <w:szCs w:val="25"/>
        </w:rPr>
        <w:t>% соответственно</w:t>
      </w:r>
      <w:r w:rsidR="00996081" w:rsidRPr="00FD6285">
        <w:rPr>
          <w:sz w:val="25"/>
          <w:szCs w:val="25"/>
        </w:rPr>
        <w:t xml:space="preserve"> </w:t>
      </w:r>
      <w:r w:rsidR="00996081" w:rsidRPr="002E2CAF">
        <w:rPr>
          <w:sz w:val="25"/>
          <w:szCs w:val="25"/>
        </w:rPr>
        <w:t xml:space="preserve">при </w:t>
      </w:r>
      <w:r w:rsidR="004F0496">
        <w:rPr>
          <w:sz w:val="25"/>
          <w:szCs w:val="25"/>
        </w:rPr>
        <w:t>4,2</w:t>
      </w:r>
      <w:r w:rsidR="00FD6285" w:rsidRPr="002E2CAF">
        <w:rPr>
          <w:sz w:val="25"/>
          <w:szCs w:val="25"/>
        </w:rPr>
        <w:t xml:space="preserve">% по </w:t>
      </w:r>
      <w:r w:rsidR="002E2CAF" w:rsidRPr="002E2CAF">
        <w:rPr>
          <w:sz w:val="25"/>
          <w:szCs w:val="25"/>
        </w:rPr>
        <w:t xml:space="preserve">утвержденному </w:t>
      </w:r>
      <w:r w:rsidR="00FD6285" w:rsidRPr="002E2CAF">
        <w:rPr>
          <w:sz w:val="25"/>
          <w:szCs w:val="25"/>
        </w:rPr>
        <w:t>решению о городском бюджете</w:t>
      </w:r>
      <w:r w:rsidR="00160E2C">
        <w:rPr>
          <w:sz w:val="25"/>
          <w:szCs w:val="25"/>
        </w:rPr>
        <w:t xml:space="preserve"> </w:t>
      </w:r>
      <w:r w:rsidR="002E2CAF">
        <w:rPr>
          <w:sz w:val="25"/>
          <w:szCs w:val="25"/>
        </w:rPr>
        <w:t>на 201</w:t>
      </w:r>
      <w:r w:rsidR="004F0496">
        <w:rPr>
          <w:sz w:val="25"/>
          <w:szCs w:val="25"/>
        </w:rPr>
        <w:t>7</w:t>
      </w:r>
      <w:r w:rsidR="002E2CAF">
        <w:rPr>
          <w:sz w:val="25"/>
          <w:szCs w:val="25"/>
        </w:rPr>
        <w:t xml:space="preserve"> год </w:t>
      </w:r>
      <w:r w:rsidR="00160E2C" w:rsidRPr="002E2CAF">
        <w:rPr>
          <w:sz w:val="25"/>
          <w:szCs w:val="25"/>
        </w:rPr>
        <w:t xml:space="preserve">и </w:t>
      </w:r>
      <w:r w:rsidR="004F0496">
        <w:rPr>
          <w:sz w:val="25"/>
          <w:szCs w:val="25"/>
        </w:rPr>
        <w:t>3,9</w:t>
      </w:r>
      <w:r w:rsidR="00FD6285" w:rsidRPr="002E2CAF">
        <w:rPr>
          <w:sz w:val="25"/>
          <w:szCs w:val="25"/>
        </w:rPr>
        <w:t>%</w:t>
      </w:r>
      <w:r w:rsidR="00FD6285" w:rsidRPr="00FD6285">
        <w:rPr>
          <w:sz w:val="25"/>
          <w:szCs w:val="25"/>
        </w:rPr>
        <w:t xml:space="preserve"> </w:t>
      </w:r>
      <w:r w:rsidR="00FD6285" w:rsidRPr="002E2CAF">
        <w:rPr>
          <w:sz w:val="25"/>
          <w:szCs w:val="25"/>
        </w:rPr>
        <w:t xml:space="preserve">по оценке ожидаемого исполнения городского бюджета </w:t>
      </w:r>
      <w:r w:rsidR="002E2CAF" w:rsidRPr="002E2CAF">
        <w:rPr>
          <w:sz w:val="25"/>
          <w:szCs w:val="25"/>
        </w:rPr>
        <w:t xml:space="preserve">по расходам </w:t>
      </w:r>
      <w:r w:rsidR="004F0496">
        <w:rPr>
          <w:sz w:val="25"/>
          <w:szCs w:val="25"/>
        </w:rPr>
        <w:t>за</w:t>
      </w:r>
      <w:r w:rsidR="00B34EDE" w:rsidRPr="002E2CAF">
        <w:rPr>
          <w:sz w:val="25"/>
          <w:szCs w:val="25"/>
        </w:rPr>
        <w:t xml:space="preserve"> 201</w:t>
      </w:r>
      <w:r w:rsidR="004F0496">
        <w:rPr>
          <w:sz w:val="25"/>
          <w:szCs w:val="25"/>
        </w:rPr>
        <w:t>7</w:t>
      </w:r>
      <w:r w:rsidR="00FD6285" w:rsidRPr="002E2CAF">
        <w:rPr>
          <w:sz w:val="25"/>
          <w:szCs w:val="25"/>
        </w:rPr>
        <w:t xml:space="preserve"> год. </w:t>
      </w:r>
      <w:proofErr w:type="gramEnd"/>
    </w:p>
    <w:p w:rsidR="004F0496" w:rsidRDefault="004F0496" w:rsidP="00573C83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12282" w:rsidRPr="00573C83" w:rsidRDefault="00FD4BC7" w:rsidP="00573C83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573C83">
        <w:rPr>
          <w:sz w:val="25"/>
          <w:szCs w:val="25"/>
        </w:rPr>
        <w:t xml:space="preserve">На основании изложенного, </w:t>
      </w:r>
      <w:r w:rsidR="00412282" w:rsidRPr="00573C83">
        <w:rPr>
          <w:sz w:val="25"/>
          <w:szCs w:val="25"/>
        </w:rPr>
        <w:t>к</w:t>
      </w:r>
      <w:r w:rsidRPr="00573C83">
        <w:rPr>
          <w:sz w:val="25"/>
          <w:szCs w:val="25"/>
        </w:rPr>
        <w:t>онтрольно-счетная палата считает, что проект реше</w:t>
      </w:r>
      <w:r w:rsidR="00412282" w:rsidRPr="00573C83">
        <w:rPr>
          <w:sz w:val="25"/>
          <w:szCs w:val="25"/>
        </w:rPr>
        <w:t xml:space="preserve">ния </w:t>
      </w:r>
      <w:r w:rsidR="0062070D" w:rsidRPr="00573C83">
        <w:rPr>
          <w:sz w:val="25"/>
          <w:szCs w:val="25"/>
        </w:rPr>
        <w:t xml:space="preserve">Архангельской городской Думы </w:t>
      </w:r>
      <w:r w:rsidR="00412282" w:rsidRPr="00573C83">
        <w:rPr>
          <w:sz w:val="25"/>
          <w:szCs w:val="25"/>
        </w:rPr>
        <w:t>«О городском бюджете на 201</w:t>
      </w:r>
      <w:r w:rsidR="00245162">
        <w:rPr>
          <w:sz w:val="25"/>
          <w:szCs w:val="25"/>
        </w:rPr>
        <w:t>8</w:t>
      </w:r>
      <w:r w:rsidRPr="00573C83">
        <w:rPr>
          <w:sz w:val="25"/>
          <w:szCs w:val="25"/>
        </w:rPr>
        <w:t xml:space="preserve"> год</w:t>
      </w:r>
      <w:r w:rsidR="00412282" w:rsidRPr="00573C83">
        <w:rPr>
          <w:sz w:val="25"/>
          <w:szCs w:val="25"/>
        </w:rPr>
        <w:t xml:space="preserve"> и на плановый период </w:t>
      </w:r>
      <w:r w:rsidR="00412282" w:rsidRPr="00573C83">
        <w:rPr>
          <w:sz w:val="25"/>
          <w:szCs w:val="25"/>
        </w:rPr>
        <w:lastRenderedPageBreak/>
        <w:t>201</w:t>
      </w:r>
      <w:r w:rsidR="00245162">
        <w:rPr>
          <w:sz w:val="25"/>
          <w:szCs w:val="25"/>
        </w:rPr>
        <w:t>9</w:t>
      </w:r>
      <w:r w:rsidR="00412282" w:rsidRPr="00573C83">
        <w:rPr>
          <w:sz w:val="25"/>
          <w:szCs w:val="25"/>
        </w:rPr>
        <w:t xml:space="preserve"> и 20</w:t>
      </w:r>
      <w:r w:rsidR="00245162">
        <w:rPr>
          <w:sz w:val="25"/>
          <w:szCs w:val="25"/>
        </w:rPr>
        <w:t>20</w:t>
      </w:r>
      <w:r w:rsidR="00412282" w:rsidRPr="00573C83">
        <w:rPr>
          <w:sz w:val="25"/>
          <w:szCs w:val="25"/>
        </w:rPr>
        <w:t xml:space="preserve"> годов</w:t>
      </w:r>
      <w:r w:rsidRPr="00573C83">
        <w:rPr>
          <w:sz w:val="25"/>
          <w:szCs w:val="25"/>
        </w:rPr>
        <w:t xml:space="preserve">» может быть </w:t>
      </w:r>
      <w:r w:rsidR="00C70020" w:rsidRPr="00573C83">
        <w:rPr>
          <w:sz w:val="25"/>
          <w:szCs w:val="25"/>
        </w:rPr>
        <w:t xml:space="preserve">рассмотрен и </w:t>
      </w:r>
      <w:r w:rsidRPr="00573C83">
        <w:rPr>
          <w:sz w:val="25"/>
          <w:szCs w:val="25"/>
        </w:rPr>
        <w:t>принят Архангельской городской Думой в первом чтении</w:t>
      </w:r>
      <w:r w:rsidR="00412282" w:rsidRPr="00573C83">
        <w:rPr>
          <w:sz w:val="25"/>
          <w:szCs w:val="25"/>
        </w:rPr>
        <w:t>.</w:t>
      </w:r>
    </w:p>
    <w:p w:rsidR="00FD4BC7" w:rsidRPr="00573C83" w:rsidRDefault="001B06E5" w:rsidP="00573C83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573C83">
        <w:rPr>
          <w:sz w:val="25"/>
          <w:szCs w:val="25"/>
        </w:rPr>
        <w:t xml:space="preserve">По итогам экспертизы проекта решения </w:t>
      </w:r>
      <w:r w:rsidR="008B4AB8" w:rsidRPr="00573C83">
        <w:rPr>
          <w:sz w:val="25"/>
          <w:szCs w:val="25"/>
        </w:rPr>
        <w:t>контрольно-счетная палата предлагает рассмотреть</w:t>
      </w:r>
      <w:r w:rsidR="00ED0E16" w:rsidRPr="00573C83">
        <w:rPr>
          <w:sz w:val="25"/>
          <w:szCs w:val="25"/>
        </w:rPr>
        <w:t xml:space="preserve"> </w:t>
      </w:r>
      <w:r w:rsidRPr="00573C83">
        <w:rPr>
          <w:sz w:val="25"/>
          <w:szCs w:val="25"/>
        </w:rPr>
        <w:t xml:space="preserve">указанные ниже </w:t>
      </w:r>
      <w:r w:rsidR="00ED0E16" w:rsidRPr="00573C83">
        <w:rPr>
          <w:sz w:val="25"/>
          <w:szCs w:val="25"/>
        </w:rPr>
        <w:t>предложения.</w:t>
      </w:r>
    </w:p>
    <w:p w:rsidR="00FD4BC7" w:rsidRPr="00573C83" w:rsidRDefault="00FD4BC7" w:rsidP="00FD4BC7">
      <w:pPr>
        <w:ind w:left="120" w:right="365"/>
        <w:jc w:val="both"/>
        <w:rPr>
          <w:color w:val="00B0F0"/>
          <w:sz w:val="25"/>
          <w:szCs w:val="25"/>
        </w:rPr>
      </w:pPr>
    </w:p>
    <w:p w:rsidR="00F43A70" w:rsidRPr="00573C83" w:rsidRDefault="00F43A70" w:rsidP="004933DE">
      <w:pPr>
        <w:pStyle w:val="a6"/>
        <w:autoSpaceDE w:val="0"/>
        <w:autoSpaceDN w:val="0"/>
        <w:adjustRightInd w:val="0"/>
        <w:ind w:left="0" w:firstLine="567"/>
        <w:jc w:val="both"/>
        <w:rPr>
          <w:sz w:val="25"/>
          <w:szCs w:val="25"/>
          <w:u w:val="single"/>
        </w:rPr>
      </w:pPr>
      <w:r w:rsidRPr="00573C83">
        <w:rPr>
          <w:sz w:val="25"/>
          <w:szCs w:val="25"/>
          <w:u w:val="single"/>
        </w:rPr>
        <w:t>Предложения:</w:t>
      </w:r>
    </w:p>
    <w:p w:rsidR="004F6C15" w:rsidRPr="004F6C15" w:rsidRDefault="004933DE" w:rsidP="004F6C15">
      <w:pPr>
        <w:pStyle w:val="a6"/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4F6C15">
        <w:rPr>
          <w:sz w:val="25"/>
          <w:szCs w:val="25"/>
        </w:rPr>
        <w:t xml:space="preserve">1. </w:t>
      </w:r>
      <w:proofErr w:type="gramStart"/>
      <w:r w:rsidR="004F6C15" w:rsidRPr="004F6C15">
        <w:rPr>
          <w:sz w:val="25"/>
          <w:szCs w:val="25"/>
        </w:rPr>
        <w:t>Продолжить работу по улучшению качества администрирования доходов бюджетной системы, обеспечивающего рост собираемости доходов, формирование прогноза поступлений доходов в городской бюджет на очередной финансовый год и на плановый период главными администраторами доходов осуществлять с учетом положений методик прогнозирования поступлений доходов в городской бюджет, утвержденных главными администраторами доходов городского бюджета в соответствии с пунктом 1 статьи 160.1 Бюджетного кодекса РФ.</w:t>
      </w:r>
      <w:proofErr w:type="gramEnd"/>
    </w:p>
    <w:p w:rsidR="00637BD2" w:rsidRPr="004F6C15" w:rsidRDefault="00637BD2" w:rsidP="0042744D">
      <w:pPr>
        <w:pStyle w:val="a6"/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 w:rsidRPr="004F6C15">
        <w:rPr>
          <w:sz w:val="25"/>
          <w:szCs w:val="25"/>
        </w:rPr>
        <w:t xml:space="preserve">2. Обеспечить соблюдение </w:t>
      </w:r>
      <w:r w:rsidR="0042744D" w:rsidRPr="004F6C15">
        <w:rPr>
          <w:sz w:val="25"/>
          <w:szCs w:val="25"/>
        </w:rPr>
        <w:t xml:space="preserve">требований </w:t>
      </w:r>
      <w:r w:rsidRPr="004F6C15">
        <w:rPr>
          <w:sz w:val="25"/>
          <w:szCs w:val="25"/>
        </w:rPr>
        <w:t>Бюджетного кодекса РФ</w:t>
      </w:r>
      <w:r w:rsidR="0042744D" w:rsidRPr="004F6C15">
        <w:rPr>
          <w:sz w:val="25"/>
          <w:szCs w:val="25"/>
        </w:rPr>
        <w:t xml:space="preserve"> при составлении проекта городского бюджета.</w:t>
      </w:r>
    </w:p>
    <w:p w:rsidR="00295831" w:rsidRDefault="0042744D" w:rsidP="00295831">
      <w:pPr>
        <w:pStyle w:val="a6"/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295831" w:rsidRPr="00B42B77">
        <w:rPr>
          <w:sz w:val="25"/>
          <w:szCs w:val="25"/>
        </w:rPr>
        <w:t xml:space="preserve">. </w:t>
      </w:r>
      <w:r w:rsidR="00E37102" w:rsidRPr="00B42B77">
        <w:rPr>
          <w:sz w:val="25"/>
          <w:szCs w:val="25"/>
        </w:rPr>
        <w:t>Главным распорядителям средств городского бюджета о</w:t>
      </w:r>
      <w:r w:rsidR="00295831" w:rsidRPr="00B42B77">
        <w:rPr>
          <w:sz w:val="25"/>
          <w:szCs w:val="25"/>
        </w:rPr>
        <w:t>беспечи</w:t>
      </w:r>
      <w:r w:rsidR="00E37102" w:rsidRPr="00B42B77">
        <w:rPr>
          <w:sz w:val="25"/>
          <w:szCs w:val="25"/>
        </w:rPr>
        <w:t>вать</w:t>
      </w:r>
      <w:r w:rsidR="00295831" w:rsidRPr="00B42B77">
        <w:rPr>
          <w:sz w:val="25"/>
          <w:szCs w:val="25"/>
        </w:rPr>
        <w:t xml:space="preserve"> равномерное и эффективное расходование средств городского бюджета в течение финансового года</w:t>
      </w:r>
      <w:r w:rsidR="009A4178" w:rsidRPr="00B42B77">
        <w:rPr>
          <w:sz w:val="25"/>
          <w:szCs w:val="25"/>
        </w:rPr>
        <w:t xml:space="preserve">, </w:t>
      </w:r>
      <w:r w:rsidR="00E37102" w:rsidRPr="00B42B77">
        <w:rPr>
          <w:sz w:val="25"/>
          <w:szCs w:val="25"/>
        </w:rPr>
        <w:t>постоянно рассматривать</w:t>
      </w:r>
      <w:r w:rsidR="009A4178" w:rsidRPr="00B42B77">
        <w:rPr>
          <w:sz w:val="25"/>
          <w:szCs w:val="25"/>
        </w:rPr>
        <w:t xml:space="preserve"> вопрос</w:t>
      </w:r>
      <w:r w:rsidR="00E37102" w:rsidRPr="00B42B77">
        <w:rPr>
          <w:sz w:val="25"/>
          <w:szCs w:val="25"/>
        </w:rPr>
        <w:t>ы</w:t>
      </w:r>
      <w:r w:rsidR="009A4178" w:rsidRPr="00B42B77">
        <w:rPr>
          <w:sz w:val="25"/>
          <w:szCs w:val="25"/>
        </w:rPr>
        <w:t xml:space="preserve"> об оптимизации расходов</w:t>
      </w:r>
      <w:r w:rsidR="00295831" w:rsidRPr="00B42B77">
        <w:rPr>
          <w:sz w:val="25"/>
          <w:szCs w:val="25"/>
        </w:rPr>
        <w:t>.</w:t>
      </w:r>
    </w:p>
    <w:p w:rsidR="00637BD2" w:rsidRDefault="0042744D" w:rsidP="0042744D">
      <w:pPr>
        <w:pStyle w:val="a6"/>
        <w:autoSpaceDE w:val="0"/>
        <w:autoSpaceDN w:val="0"/>
        <w:adjustRightInd w:val="0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637BD2">
        <w:rPr>
          <w:sz w:val="25"/>
          <w:szCs w:val="25"/>
        </w:rPr>
        <w:t>. Н</w:t>
      </w:r>
      <w:r w:rsidR="00637BD2" w:rsidRPr="00295831">
        <w:rPr>
          <w:sz w:val="25"/>
          <w:szCs w:val="25"/>
        </w:rPr>
        <w:t>е допускать расходы на разработку проектно</w:t>
      </w:r>
      <w:r>
        <w:rPr>
          <w:sz w:val="25"/>
          <w:szCs w:val="25"/>
        </w:rPr>
        <w:t xml:space="preserve">й </w:t>
      </w:r>
      <w:r w:rsidR="00637BD2" w:rsidRPr="00295831">
        <w:rPr>
          <w:sz w:val="25"/>
          <w:szCs w:val="25"/>
        </w:rPr>
        <w:t>документации, которая впоследствии не реализуются на выполнение работ по  строительству, реконструкции  и капитальн</w:t>
      </w:r>
      <w:r w:rsidR="00637BD2">
        <w:rPr>
          <w:sz w:val="25"/>
          <w:szCs w:val="25"/>
        </w:rPr>
        <w:t>ому</w:t>
      </w:r>
      <w:r w:rsidR="00637BD2" w:rsidRPr="00295831">
        <w:rPr>
          <w:sz w:val="25"/>
          <w:szCs w:val="25"/>
        </w:rPr>
        <w:t xml:space="preserve"> ремонт</w:t>
      </w:r>
      <w:r w:rsidR="00637BD2">
        <w:rPr>
          <w:sz w:val="25"/>
          <w:szCs w:val="25"/>
        </w:rPr>
        <w:t>у</w:t>
      </w:r>
      <w:r w:rsidR="00637BD2" w:rsidRPr="00295831">
        <w:rPr>
          <w:sz w:val="25"/>
          <w:szCs w:val="25"/>
        </w:rPr>
        <w:t xml:space="preserve">.  </w:t>
      </w:r>
    </w:p>
    <w:p w:rsidR="00CD6BCA" w:rsidRDefault="0042744D" w:rsidP="00CD6BCA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6F3E89">
        <w:rPr>
          <w:sz w:val="25"/>
          <w:szCs w:val="25"/>
        </w:rPr>
        <w:t>5</w:t>
      </w:r>
      <w:r w:rsidR="00CD6BCA" w:rsidRPr="006F3E89">
        <w:rPr>
          <w:sz w:val="25"/>
          <w:szCs w:val="25"/>
        </w:rPr>
        <w:t>. Осуществить оценку эффективности реализации муниципальных</w:t>
      </w:r>
      <w:r w:rsidR="007002F4" w:rsidRPr="006F3E89">
        <w:rPr>
          <w:sz w:val="25"/>
          <w:szCs w:val="25"/>
        </w:rPr>
        <w:t xml:space="preserve"> </w:t>
      </w:r>
      <w:r w:rsidR="001D3202" w:rsidRPr="006F3E89">
        <w:rPr>
          <w:sz w:val="25"/>
          <w:szCs w:val="25"/>
        </w:rPr>
        <w:t xml:space="preserve">программ </w:t>
      </w:r>
      <w:r w:rsidR="007002F4" w:rsidRPr="006F3E89">
        <w:rPr>
          <w:sz w:val="25"/>
          <w:szCs w:val="25"/>
        </w:rPr>
        <w:t xml:space="preserve">(с учетом </w:t>
      </w:r>
      <w:r w:rsidR="00CD6BCA" w:rsidRPr="006F3E89">
        <w:rPr>
          <w:sz w:val="25"/>
          <w:szCs w:val="25"/>
        </w:rPr>
        <w:t xml:space="preserve"> ведомственных целевых программ, а также подпрограмм</w:t>
      </w:r>
      <w:r w:rsidR="007002F4" w:rsidRPr="006F3E89">
        <w:rPr>
          <w:sz w:val="25"/>
          <w:szCs w:val="25"/>
        </w:rPr>
        <w:t>)</w:t>
      </w:r>
      <w:r w:rsidR="00CD6BCA" w:rsidRPr="006F3E89">
        <w:rPr>
          <w:sz w:val="25"/>
          <w:szCs w:val="25"/>
        </w:rPr>
        <w:t xml:space="preserve"> за 201</w:t>
      </w:r>
      <w:r w:rsidR="00AC07CA" w:rsidRPr="006F3E89">
        <w:rPr>
          <w:sz w:val="25"/>
          <w:szCs w:val="25"/>
        </w:rPr>
        <w:t>7</w:t>
      </w:r>
      <w:r w:rsidR="00CD6BCA" w:rsidRPr="006F3E89">
        <w:rPr>
          <w:sz w:val="25"/>
          <w:szCs w:val="25"/>
        </w:rPr>
        <w:t xml:space="preserve"> год, а также анализ планируемых объемов финансирования программ с учетом проведенной оценки их эффективности в целях оптимизации расходов бюджета и эффективного использования средств городского бюджета.</w:t>
      </w:r>
    </w:p>
    <w:p w:rsidR="006F3E89" w:rsidRDefault="006F3E89" w:rsidP="00FD4BC7">
      <w:pPr>
        <w:ind w:left="120" w:right="365"/>
        <w:jc w:val="both"/>
        <w:rPr>
          <w:sz w:val="25"/>
          <w:szCs w:val="25"/>
        </w:rPr>
      </w:pPr>
    </w:p>
    <w:p w:rsidR="004F6C15" w:rsidRDefault="004F6C15" w:rsidP="00FD4BC7">
      <w:pPr>
        <w:ind w:left="120" w:right="365"/>
        <w:jc w:val="both"/>
        <w:rPr>
          <w:sz w:val="25"/>
          <w:szCs w:val="25"/>
        </w:rPr>
      </w:pPr>
      <w:bookmarkStart w:id="1" w:name="_GoBack"/>
      <w:bookmarkEnd w:id="1"/>
    </w:p>
    <w:sectPr w:rsidR="004F6C15" w:rsidSect="002C44EF">
      <w:footerReference w:type="default" r:id="rId18"/>
      <w:pgSz w:w="11906" w:h="16838"/>
      <w:pgMar w:top="709" w:right="707" w:bottom="851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5B" w:rsidRDefault="0055785B" w:rsidP="00A60F75">
      <w:r>
        <w:separator/>
      </w:r>
    </w:p>
  </w:endnote>
  <w:endnote w:type="continuationSeparator" w:id="0">
    <w:p w:rsidR="0055785B" w:rsidRDefault="0055785B" w:rsidP="00A6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5631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785B" w:rsidRPr="00D7295B" w:rsidRDefault="0055785B">
        <w:pPr>
          <w:pStyle w:val="a8"/>
          <w:jc w:val="right"/>
          <w:rPr>
            <w:sz w:val="20"/>
            <w:szCs w:val="20"/>
          </w:rPr>
        </w:pPr>
        <w:r w:rsidRPr="00D7295B">
          <w:rPr>
            <w:sz w:val="20"/>
            <w:szCs w:val="20"/>
          </w:rPr>
          <w:fldChar w:fldCharType="begin"/>
        </w:r>
        <w:r w:rsidRPr="00D7295B">
          <w:rPr>
            <w:sz w:val="20"/>
            <w:szCs w:val="20"/>
          </w:rPr>
          <w:instrText>PAGE   \* MERGEFORMAT</w:instrText>
        </w:r>
        <w:r w:rsidRPr="00D7295B">
          <w:rPr>
            <w:sz w:val="20"/>
            <w:szCs w:val="20"/>
          </w:rPr>
          <w:fldChar w:fldCharType="separate"/>
        </w:r>
        <w:r w:rsidR="00941857">
          <w:rPr>
            <w:noProof/>
            <w:sz w:val="20"/>
            <w:szCs w:val="20"/>
          </w:rPr>
          <w:t>33</w:t>
        </w:r>
        <w:r w:rsidRPr="00D7295B">
          <w:rPr>
            <w:sz w:val="20"/>
            <w:szCs w:val="20"/>
          </w:rPr>
          <w:fldChar w:fldCharType="end"/>
        </w:r>
      </w:p>
    </w:sdtContent>
  </w:sdt>
  <w:p w:rsidR="0055785B" w:rsidRDefault="005578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5B" w:rsidRDefault="0055785B" w:rsidP="00A60F75">
      <w:r>
        <w:separator/>
      </w:r>
    </w:p>
  </w:footnote>
  <w:footnote w:type="continuationSeparator" w:id="0">
    <w:p w:rsidR="0055785B" w:rsidRDefault="0055785B" w:rsidP="00A6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441"/>
    <w:multiLevelType w:val="hybridMultilevel"/>
    <w:tmpl w:val="96EA2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D586E"/>
    <w:multiLevelType w:val="hybridMultilevel"/>
    <w:tmpl w:val="55E0DCCA"/>
    <w:lvl w:ilvl="0" w:tplc="7E34F2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E114F48"/>
    <w:multiLevelType w:val="hybridMultilevel"/>
    <w:tmpl w:val="86DE65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197439"/>
    <w:multiLevelType w:val="hybridMultilevel"/>
    <w:tmpl w:val="D08C3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207621"/>
    <w:multiLevelType w:val="hybridMultilevel"/>
    <w:tmpl w:val="37D2C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63E4"/>
    <w:multiLevelType w:val="hybridMultilevel"/>
    <w:tmpl w:val="FC58460E"/>
    <w:lvl w:ilvl="0" w:tplc="0419000B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6">
    <w:nsid w:val="16573581"/>
    <w:multiLevelType w:val="hybridMultilevel"/>
    <w:tmpl w:val="B9A69E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851ADE"/>
    <w:multiLevelType w:val="hybridMultilevel"/>
    <w:tmpl w:val="EEA0F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70675"/>
    <w:multiLevelType w:val="hybridMultilevel"/>
    <w:tmpl w:val="0270C21C"/>
    <w:lvl w:ilvl="0" w:tplc="08BEA0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76A9A"/>
    <w:multiLevelType w:val="hybridMultilevel"/>
    <w:tmpl w:val="8FEE43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E63967"/>
    <w:multiLevelType w:val="hybridMultilevel"/>
    <w:tmpl w:val="337C8F1E"/>
    <w:lvl w:ilvl="0" w:tplc="10529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B67B0D"/>
    <w:multiLevelType w:val="hybridMultilevel"/>
    <w:tmpl w:val="D9F083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065CE0"/>
    <w:multiLevelType w:val="hybridMultilevel"/>
    <w:tmpl w:val="59244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45E"/>
    <w:multiLevelType w:val="hybridMultilevel"/>
    <w:tmpl w:val="CB38C866"/>
    <w:lvl w:ilvl="0" w:tplc="668EE9B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287706"/>
    <w:multiLevelType w:val="hybridMultilevel"/>
    <w:tmpl w:val="0082C92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10266D6"/>
    <w:multiLevelType w:val="hybridMultilevel"/>
    <w:tmpl w:val="C37C00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1BC26EB"/>
    <w:multiLevelType w:val="hybridMultilevel"/>
    <w:tmpl w:val="E472AB90"/>
    <w:lvl w:ilvl="0" w:tplc="FF04FA02">
      <w:start w:val="1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D4DC0"/>
    <w:multiLevelType w:val="hybridMultilevel"/>
    <w:tmpl w:val="E20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43406"/>
    <w:multiLevelType w:val="hybridMultilevel"/>
    <w:tmpl w:val="8012C236"/>
    <w:lvl w:ilvl="0" w:tplc="68B689D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380C6AD9"/>
    <w:multiLevelType w:val="hybridMultilevel"/>
    <w:tmpl w:val="97F29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C7CD4"/>
    <w:multiLevelType w:val="hybridMultilevel"/>
    <w:tmpl w:val="E79CF7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C1122"/>
    <w:multiLevelType w:val="hybridMultilevel"/>
    <w:tmpl w:val="2A6A90D0"/>
    <w:lvl w:ilvl="0" w:tplc="330A71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E1547E"/>
    <w:multiLevelType w:val="hybridMultilevel"/>
    <w:tmpl w:val="4FF627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C3D764B"/>
    <w:multiLevelType w:val="hybridMultilevel"/>
    <w:tmpl w:val="B9268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9F06A6"/>
    <w:multiLevelType w:val="hybridMultilevel"/>
    <w:tmpl w:val="75A263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4FF72C1"/>
    <w:multiLevelType w:val="hybridMultilevel"/>
    <w:tmpl w:val="386A87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DAA1BCC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7">
    <w:nsid w:val="618A3A0E"/>
    <w:multiLevelType w:val="hybridMultilevel"/>
    <w:tmpl w:val="EDDCA288"/>
    <w:lvl w:ilvl="0" w:tplc="B186FB9A">
      <w:start w:val="5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>
    <w:nsid w:val="6FC9493E"/>
    <w:multiLevelType w:val="hybridMultilevel"/>
    <w:tmpl w:val="BCAE166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0472533"/>
    <w:multiLevelType w:val="multilevel"/>
    <w:tmpl w:val="84460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A932426"/>
    <w:multiLevelType w:val="hybridMultilevel"/>
    <w:tmpl w:val="F98AB5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5"/>
  </w:num>
  <w:num w:numId="4">
    <w:abstractNumId w:val="13"/>
  </w:num>
  <w:num w:numId="5">
    <w:abstractNumId w:val="1"/>
  </w:num>
  <w:num w:numId="6">
    <w:abstractNumId w:val="28"/>
  </w:num>
  <w:num w:numId="7">
    <w:abstractNumId w:val="14"/>
  </w:num>
  <w:num w:numId="8">
    <w:abstractNumId w:val="25"/>
  </w:num>
  <w:num w:numId="9">
    <w:abstractNumId w:val="22"/>
  </w:num>
  <w:num w:numId="10">
    <w:abstractNumId w:val="24"/>
  </w:num>
  <w:num w:numId="11">
    <w:abstractNumId w:val="3"/>
  </w:num>
  <w:num w:numId="12">
    <w:abstractNumId w:val="26"/>
  </w:num>
  <w:num w:numId="13">
    <w:abstractNumId w:val="5"/>
  </w:num>
  <w:num w:numId="14">
    <w:abstractNumId w:val="9"/>
  </w:num>
  <w:num w:numId="15">
    <w:abstractNumId w:val="11"/>
  </w:num>
  <w:num w:numId="16">
    <w:abstractNumId w:val="23"/>
  </w:num>
  <w:num w:numId="17">
    <w:abstractNumId w:val="20"/>
  </w:num>
  <w:num w:numId="18">
    <w:abstractNumId w:val="6"/>
  </w:num>
  <w:num w:numId="19">
    <w:abstractNumId w:val="2"/>
  </w:num>
  <w:num w:numId="20">
    <w:abstractNumId w:val="30"/>
  </w:num>
  <w:num w:numId="21">
    <w:abstractNumId w:val="27"/>
  </w:num>
  <w:num w:numId="22">
    <w:abstractNumId w:val="16"/>
  </w:num>
  <w:num w:numId="23">
    <w:abstractNumId w:val="21"/>
  </w:num>
  <w:num w:numId="24">
    <w:abstractNumId w:val="0"/>
  </w:num>
  <w:num w:numId="25">
    <w:abstractNumId w:val="12"/>
  </w:num>
  <w:num w:numId="26">
    <w:abstractNumId w:val="7"/>
  </w:num>
  <w:num w:numId="27">
    <w:abstractNumId w:val="4"/>
  </w:num>
  <w:num w:numId="28">
    <w:abstractNumId w:val="19"/>
  </w:num>
  <w:num w:numId="29">
    <w:abstractNumId w:val="18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880"/>
    <w:rsid w:val="00000451"/>
    <w:rsid w:val="00000743"/>
    <w:rsid w:val="00000F82"/>
    <w:rsid w:val="00002CD8"/>
    <w:rsid w:val="00002CED"/>
    <w:rsid w:val="00002DE3"/>
    <w:rsid w:val="000038F7"/>
    <w:rsid w:val="00005291"/>
    <w:rsid w:val="000054C2"/>
    <w:rsid w:val="00005541"/>
    <w:rsid w:val="0000565F"/>
    <w:rsid w:val="00005C0E"/>
    <w:rsid w:val="0000623E"/>
    <w:rsid w:val="0000738B"/>
    <w:rsid w:val="00010EEE"/>
    <w:rsid w:val="0001121E"/>
    <w:rsid w:val="000112F1"/>
    <w:rsid w:val="00011A7C"/>
    <w:rsid w:val="00011F8E"/>
    <w:rsid w:val="00012DED"/>
    <w:rsid w:val="00012E94"/>
    <w:rsid w:val="000132A0"/>
    <w:rsid w:val="000142FD"/>
    <w:rsid w:val="000153EC"/>
    <w:rsid w:val="00015A01"/>
    <w:rsid w:val="00015E8C"/>
    <w:rsid w:val="00016238"/>
    <w:rsid w:val="00016599"/>
    <w:rsid w:val="00016797"/>
    <w:rsid w:val="00016CC2"/>
    <w:rsid w:val="00020752"/>
    <w:rsid w:val="00020F6D"/>
    <w:rsid w:val="0002212D"/>
    <w:rsid w:val="000226D3"/>
    <w:rsid w:val="00022C31"/>
    <w:rsid w:val="00022F7B"/>
    <w:rsid w:val="000231DA"/>
    <w:rsid w:val="00023F8A"/>
    <w:rsid w:val="00023FFB"/>
    <w:rsid w:val="000242BD"/>
    <w:rsid w:val="00025529"/>
    <w:rsid w:val="000255B3"/>
    <w:rsid w:val="00025997"/>
    <w:rsid w:val="00025C8E"/>
    <w:rsid w:val="000260F4"/>
    <w:rsid w:val="0002668E"/>
    <w:rsid w:val="00026ACD"/>
    <w:rsid w:val="00027E23"/>
    <w:rsid w:val="00030EA0"/>
    <w:rsid w:val="00031217"/>
    <w:rsid w:val="00031C4F"/>
    <w:rsid w:val="00033127"/>
    <w:rsid w:val="00033ECC"/>
    <w:rsid w:val="00034437"/>
    <w:rsid w:val="000344D6"/>
    <w:rsid w:val="00034A9C"/>
    <w:rsid w:val="00034F8D"/>
    <w:rsid w:val="000352E6"/>
    <w:rsid w:val="0003555F"/>
    <w:rsid w:val="000359EF"/>
    <w:rsid w:val="00036535"/>
    <w:rsid w:val="00036B36"/>
    <w:rsid w:val="0003701B"/>
    <w:rsid w:val="0003707E"/>
    <w:rsid w:val="000371A8"/>
    <w:rsid w:val="00042580"/>
    <w:rsid w:val="00043434"/>
    <w:rsid w:val="00047F1B"/>
    <w:rsid w:val="0005255D"/>
    <w:rsid w:val="00053662"/>
    <w:rsid w:val="00053DBF"/>
    <w:rsid w:val="00053E5F"/>
    <w:rsid w:val="00055744"/>
    <w:rsid w:val="00055AA5"/>
    <w:rsid w:val="00056B5C"/>
    <w:rsid w:val="00056DCE"/>
    <w:rsid w:val="000573D9"/>
    <w:rsid w:val="00057F83"/>
    <w:rsid w:val="000600FF"/>
    <w:rsid w:val="000604E5"/>
    <w:rsid w:val="0006201B"/>
    <w:rsid w:val="00062143"/>
    <w:rsid w:val="000623C5"/>
    <w:rsid w:val="00062855"/>
    <w:rsid w:val="00063791"/>
    <w:rsid w:val="00063D32"/>
    <w:rsid w:val="00064265"/>
    <w:rsid w:val="00064371"/>
    <w:rsid w:val="000659B4"/>
    <w:rsid w:val="00065B26"/>
    <w:rsid w:val="000673EE"/>
    <w:rsid w:val="0006777C"/>
    <w:rsid w:val="00067912"/>
    <w:rsid w:val="00070106"/>
    <w:rsid w:val="000703B2"/>
    <w:rsid w:val="00070555"/>
    <w:rsid w:val="00070826"/>
    <w:rsid w:val="00071A27"/>
    <w:rsid w:val="00071A8F"/>
    <w:rsid w:val="000723D5"/>
    <w:rsid w:val="000725E3"/>
    <w:rsid w:val="00072DD9"/>
    <w:rsid w:val="000740BA"/>
    <w:rsid w:val="000752C3"/>
    <w:rsid w:val="00075927"/>
    <w:rsid w:val="00075CC3"/>
    <w:rsid w:val="00075F47"/>
    <w:rsid w:val="00075FA9"/>
    <w:rsid w:val="00076F1A"/>
    <w:rsid w:val="00076FE1"/>
    <w:rsid w:val="00077B71"/>
    <w:rsid w:val="00077BA5"/>
    <w:rsid w:val="000807C5"/>
    <w:rsid w:val="00080891"/>
    <w:rsid w:val="0008188C"/>
    <w:rsid w:val="00081ECA"/>
    <w:rsid w:val="00082014"/>
    <w:rsid w:val="0008358A"/>
    <w:rsid w:val="00083793"/>
    <w:rsid w:val="00083946"/>
    <w:rsid w:val="00084255"/>
    <w:rsid w:val="0008525B"/>
    <w:rsid w:val="000854DE"/>
    <w:rsid w:val="00085AD3"/>
    <w:rsid w:val="0008707B"/>
    <w:rsid w:val="000877CB"/>
    <w:rsid w:val="00087E5F"/>
    <w:rsid w:val="000910A5"/>
    <w:rsid w:val="00091E3E"/>
    <w:rsid w:val="0009274B"/>
    <w:rsid w:val="00093D2F"/>
    <w:rsid w:val="00095B3A"/>
    <w:rsid w:val="00096E38"/>
    <w:rsid w:val="000976F4"/>
    <w:rsid w:val="000A03DB"/>
    <w:rsid w:val="000A0400"/>
    <w:rsid w:val="000A0DBF"/>
    <w:rsid w:val="000A17E2"/>
    <w:rsid w:val="000A1DDF"/>
    <w:rsid w:val="000A1E9B"/>
    <w:rsid w:val="000A207E"/>
    <w:rsid w:val="000A23E9"/>
    <w:rsid w:val="000A240A"/>
    <w:rsid w:val="000A2A76"/>
    <w:rsid w:val="000A2B54"/>
    <w:rsid w:val="000A4551"/>
    <w:rsid w:val="000A47C0"/>
    <w:rsid w:val="000A4BF8"/>
    <w:rsid w:val="000A4C6D"/>
    <w:rsid w:val="000A4D9E"/>
    <w:rsid w:val="000A5716"/>
    <w:rsid w:val="000A6227"/>
    <w:rsid w:val="000A63D6"/>
    <w:rsid w:val="000A6AAD"/>
    <w:rsid w:val="000A6C75"/>
    <w:rsid w:val="000A769E"/>
    <w:rsid w:val="000A78E6"/>
    <w:rsid w:val="000A79AB"/>
    <w:rsid w:val="000B03EC"/>
    <w:rsid w:val="000B03FF"/>
    <w:rsid w:val="000B081C"/>
    <w:rsid w:val="000B1960"/>
    <w:rsid w:val="000B1CF9"/>
    <w:rsid w:val="000B2275"/>
    <w:rsid w:val="000B2A1D"/>
    <w:rsid w:val="000B4AFE"/>
    <w:rsid w:val="000B4CA0"/>
    <w:rsid w:val="000B5696"/>
    <w:rsid w:val="000B6240"/>
    <w:rsid w:val="000B6DBF"/>
    <w:rsid w:val="000B7807"/>
    <w:rsid w:val="000B7A6C"/>
    <w:rsid w:val="000B7B1C"/>
    <w:rsid w:val="000C26E5"/>
    <w:rsid w:val="000C3650"/>
    <w:rsid w:val="000C38E1"/>
    <w:rsid w:val="000C3A9E"/>
    <w:rsid w:val="000C3FBC"/>
    <w:rsid w:val="000C41F0"/>
    <w:rsid w:val="000C49A1"/>
    <w:rsid w:val="000C4A54"/>
    <w:rsid w:val="000C4F2E"/>
    <w:rsid w:val="000C51EE"/>
    <w:rsid w:val="000C5513"/>
    <w:rsid w:val="000C5B91"/>
    <w:rsid w:val="000C5FDB"/>
    <w:rsid w:val="000C6235"/>
    <w:rsid w:val="000C7A47"/>
    <w:rsid w:val="000D16AA"/>
    <w:rsid w:val="000D1CEC"/>
    <w:rsid w:val="000D267D"/>
    <w:rsid w:val="000D2D20"/>
    <w:rsid w:val="000D315A"/>
    <w:rsid w:val="000D3431"/>
    <w:rsid w:val="000D39B0"/>
    <w:rsid w:val="000D6292"/>
    <w:rsid w:val="000D65DB"/>
    <w:rsid w:val="000D6C9B"/>
    <w:rsid w:val="000D7D3C"/>
    <w:rsid w:val="000E0C58"/>
    <w:rsid w:val="000E1C96"/>
    <w:rsid w:val="000E3484"/>
    <w:rsid w:val="000E3900"/>
    <w:rsid w:val="000E3CAD"/>
    <w:rsid w:val="000E457C"/>
    <w:rsid w:val="000E6983"/>
    <w:rsid w:val="000E76C1"/>
    <w:rsid w:val="000E7CE8"/>
    <w:rsid w:val="000F2D26"/>
    <w:rsid w:val="000F2D6C"/>
    <w:rsid w:val="000F325E"/>
    <w:rsid w:val="000F36FE"/>
    <w:rsid w:val="000F3E6F"/>
    <w:rsid w:val="000F3ED5"/>
    <w:rsid w:val="000F4C0B"/>
    <w:rsid w:val="000F4E99"/>
    <w:rsid w:val="000F5238"/>
    <w:rsid w:val="000F5382"/>
    <w:rsid w:val="000F57CE"/>
    <w:rsid w:val="000F5837"/>
    <w:rsid w:val="000F67B5"/>
    <w:rsid w:val="000F6C58"/>
    <w:rsid w:val="000F762F"/>
    <w:rsid w:val="000F7789"/>
    <w:rsid w:val="000F778C"/>
    <w:rsid w:val="000F7E8E"/>
    <w:rsid w:val="00100741"/>
    <w:rsid w:val="001009F1"/>
    <w:rsid w:val="00101A7F"/>
    <w:rsid w:val="00101F1F"/>
    <w:rsid w:val="00102FBC"/>
    <w:rsid w:val="00103E97"/>
    <w:rsid w:val="00106406"/>
    <w:rsid w:val="00106738"/>
    <w:rsid w:val="00106AFE"/>
    <w:rsid w:val="00106F87"/>
    <w:rsid w:val="00110865"/>
    <w:rsid w:val="00110A39"/>
    <w:rsid w:val="00110D6C"/>
    <w:rsid w:val="0011201F"/>
    <w:rsid w:val="00113C18"/>
    <w:rsid w:val="00113C7A"/>
    <w:rsid w:val="00114E21"/>
    <w:rsid w:val="00115DE9"/>
    <w:rsid w:val="00115E2B"/>
    <w:rsid w:val="001176BF"/>
    <w:rsid w:val="001177B3"/>
    <w:rsid w:val="0012146C"/>
    <w:rsid w:val="00121CBC"/>
    <w:rsid w:val="00121F3F"/>
    <w:rsid w:val="0012232B"/>
    <w:rsid w:val="00123B7F"/>
    <w:rsid w:val="00124021"/>
    <w:rsid w:val="001248E0"/>
    <w:rsid w:val="001249AD"/>
    <w:rsid w:val="00124ED8"/>
    <w:rsid w:val="00124FE4"/>
    <w:rsid w:val="00125767"/>
    <w:rsid w:val="001258E1"/>
    <w:rsid w:val="0012598C"/>
    <w:rsid w:val="001265D9"/>
    <w:rsid w:val="001268BE"/>
    <w:rsid w:val="001274CD"/>
    <w:rsid w:val="00127567"/>
    <w:rsid w:val="00127B4E"/>
    <w:rsid w:val="00130529"/>
    <w:rsid w:val="00131D70"/>
    <w:rsid w:val="00132910"/>
    <w:rsid w:val="00132B26"/>
    <w:rsid w:val="00133BF5"/>
    <w:rsid w:val="00133EC1"/>
    <w:rsid w:val="00133FBB"/>
    <w:rsid w:val="0013416C"/>
    <w:rsid w:val="00134475"/>
    <w:rsid w:val="00134CAE"/>
    <w:rsid w:val="00135EA3"/>
    <w:rsid w:val="0013622E"/>
    <w:rsid w:val="0013788C"/>
    <w:rsid w:val="00137A36"/>
    <w:rsid w:val="001401B5"/>
    <w:rsid w:val="00140E18"/>
    <w:rsid w:val="00141045"/>
    <w:rsid w:val="001423F7"/>
    <w:rsid w:val="00142D27"/>
    <w:rsid w:val="00143AF8"/>
    <w:rsid w:val="00143D1C"/>
    <w:rsid w:val="00143E33"/>
    <w:rsid w:val="00144000"/>
    <w:rsid w:val="0014421B"/>
    <w:rsid w:val="00144D07"/>
    <w:rsid w:val="00144E32"/>
    <w:rsid w:val="00144F7A"/>
    <w:rsid w:val="0014581D"/>
    <w:rsid w:val="0014594B"/>
    <w:rsid w:val="001464B3"/>
    <w:rsid w:val="00146CE7"/>
    <w:rsid w:val="00146FA5"/>
    <w:rsid w:val="00147DDA"/>
    <w:rsid w:val="001501A0"/>
    <w:rsid w:val="00150863"/>
    <w:rsid w:val="001557CE"/>
    <w:rsid w:val="00155995"/>
    <w:rsid w:val="00156284"/>
    <w:rsid w:val="00156D7C"/>
    <w:rsid w:val="00156DF5"/>
    <w:rsid w:val="001573C2"/>
    <w:rsid w:val="00157865"/>
    <w:rsid w:val="00157ACA"/>
    <w:rsid w:val="001602D9"/>
    <w:rsid w:val="00160579"/>
    <w:rsid w:val="00160B75"/>
    <w:rsid w:val="00160C73"/>
    <w:rsid w:val="00160E2C"/>
    <w:rsid w:val="00161273"/>
    <w:rsid w:val="00161D47"/>
    <w:rsid w:val="001620AB"/>
    <w:rsid w:val="001621CA"/>
    <w:rsid w:val="00162646"/>
    <w:rsid w:val="00163008"/>
    <w:rsid w:val="001636E5"/>
    <w:rsid w:val="00163B88"/>
    <w:rsid w:val="00165728"/>
    <w:rsid w:val="00165751"/>
    <w:rsid w:val="001662A9"/>
    <w:rsid w:val="00166FB1"/>
    <w:rsid w:val="001702EC"/>
    <w:rsid w:val="00170307"/>
    <w:rsid w:val="00170AE6"/>
    <w:rsid w:val="001722A2"/>
    <w:rsid w:val="001726AB"/>
    <w:rsid w:val="00172EA0"/>
    <w:rsid w:val="00173960"/>
    <w:rsid w:val="00173A25"/>
    <w:rsid w:val="00173C8D"/>
    <w:rsid w:val="00174242"/>
    <w:rsid w:val="00174E0D"/>
    <w:rsid w:val="001754BD"/>
    <w:rsid w:val="0017553A"/>
    <w:rsid w:val="001757D7"/>
    <w:rsid w:val="00175BE4"/>
    <w:rsid w:val="0017658B"/>
    <w:rsid w:val="001770AE"/>
    <w:rsid w:val="00177974"/>
    <w:rsid w:val="00177F6F"/>
    <w:rsid w:val="0018040E"/>
    <w:rsid w:val="00180CF4"/>
    <w:rsid w:val="00180FEF"/>
    <w:rsid w:val="0018134A"/>
    <w:rsid w:val="00182342"/>
    <w:rsid w:val="001840C9"/>
    <w:rsid w:val="00185B06"/>
    <w:rsid w:val="00185BA3"/>
    <w:rsid w:val="00186FB3"/>
    <w:rsid w:val="00190A53"/>
    <w:rsid w:val="001927B2"/>
    <w:rsid w:val="00193B7A"/>
    <w:rsid w:val="001941FD"/>
    <w:rsid w:val="0019443F"/>
    <w:rsid w:val="00194B8C"/>
    <w:rsid w:val="001970C5"/>
    <w:rsid w:val="0019774B"/>
    <w:rsid w:val="00197822"/>
    <w:rsid w:val="00197AE1"/>
    <w:rsid w:val="001A0313"/>
    <w:rsid w:val="001A0C0A"/>
    <w:rsid w:val="001A0E02"/>
    <w:rsid w:val="001A10A6"/>
    <w:rsid w:val="001A201F"/>
    <w:rsid w:val="001A294E"/>
    <w:rsid w:val="001A48D9"/>
    <w:rsid w:val="001A5BCF"/>
    <w:rsid w:val="001A6B85"/>
    <w:rsid w:val="001A7688"/>
    <w:rsid w:val="001A7D81"/>
    <w:rsid w:val="001B06E5"/>
    <w:rsid w:val="001B1FB4"/>
    <w:rsid w:val="001B2036"/>
    <w:rsid w:val="001B2133"/>
    <w:rsid w:val="001B3196"/>
    <w:rsid w:val="001B32B6"/>
    <w:rsid w:val="001B4F56"/>
    <w:rsid w:val="001B5054"/>
    <w:rsid w:val="001B527E"/>
    <w:rsid w:val="001B69E4"/>
    <w:rsid w:val="001B76AC"/>
    <w:rsid w:val="001B7AD2"/>
    <w:rsid w:val="001C0DEB"/>
    <w:rsid w:val="001C1265"/>
    <w:rsid w:val="001C1644"/>
    <w:rsid w:val="001C16D4"/>
    <w:rsid w:val="001C2646"/>
    <w:rsid w:val="001C2FC1"/>
    <w:rsid w:val="001C3A65"/>
    <w:rsid w:val="001C4377"/>
    <w:rsid w:val="001C63EB"/>
    <w:rsid w:val="001C6585"/>
    <w:rsid w:val="001C6CFB"/>
    <w:rsid w:val="001C7CFF"/>
    <w:rsid w:val="001D092F"/>
    <w:rsid w:val="001D0F55"/>
    <w:rsid w:val="001D2FA1"/>
    <w:rsid w:val="001D3202"/>
    <w:rsid w:val="001D46DF"/>
    <w:rsid w:val="001D5232"/>
    <w:rsid w:val="001D56D0"/>
    <w:rsid w:val="001D6871"/>
    <w:rsid w:val="001D69FA"/>
    <w:rsid w:val="001D6A93"/>
    <w:rsid w:val="001D6F06"/>
    <w:rsid w:val="001D72C5"/>
    <w:rsid w:val="001D7632"/>
    <w:rsid w:val="001D79E0"/>
    <w:rsid w:val="001D7DCF"/>
    <w:rsid w:val="001E0A26"/>
    <w:rsid w:val="001E0ADE"/>
    <w:rsid w:val="001E0EB8"/>
    <w:rsid w:val="001E210D"/>
    <w:rsid w:val="001E227E"/>
    <w:rsid w:val="001E2616"/>
    <w:rsid w:val="001E2B36"/>
    <w:rsid w:val="001E2D22"/>
    <w:rsid w:val="001E35D1"/>
    <w:rsid w:val="001E3888"/>
    <w:rsid w:val="001E39D8"/>
    <w:rsid w:val="001E39F2"/>
    <w:rsid w:val="001E585C"/>
    <w:rsid w:val="001E5F0D"/>
    <w:rsid w:val="001E701C"/>
    <w:rsid w:val="001E7094"/>
    <w:rsid w:val="001F0808"/>
    <w:rsid w:val="001F22B2"/>
    <w:rsid w:val="001F257F"/>
    <w:rsid w:val="001F3DEC"/>
    <w:rsid w:val="001F4169"/>
    <w:rsid w:val="001F50E5"/>
    <w:rsid w:val="001F5F53"/>
    <w:rsid w:val="001F605A"/>
    <w:rsid w:val="001F6ADE"/>
    <w:rsid w:val="001F6D76"/>
    <w:rsid w:val="001F6F31"/>
    <w:rsid w:val="001F7124"/>
    <w:rsid w:val="001F77A5"/>
    <w:rsid w:val="001F7AF5"/>
    <w:rsid w:val="001F7D5B"/>
    <w:rsid w:val="00201503"/>
    <w:rsid w:val="00202F20"/>
    <w:rsid w:val="00202F82"/>
    <w:rsid w:val="00204948"/>
    <w:rsid w:val="00205841"/>
    <w:rsid w:val="00205926"/>
    <w:rsid w:val="002059E3"/>
    <w:rsid w:val="0020624C"/>
    <w:rsid w:val="002064CC"/>
    <w:rsid w:val="00206F23"/>
    <w:rsid w:val="00210A57"/>
    <w:rsid w:val="00211683"/>
    <w:rsid w:val="002118FE"/>
    <w:rsid w:val="002119E7"/>
    <w:rsid w:val="00214209"/>
    <w:rsid w:val="00214564"/>
    <w:rsid w:val="0021471F"/>
    <w:rsid w:val="0021540F"/>
    <w:rsid w:val="002157E0"/>
    <w:rsid w:val="00216AC2"/>
    <w:rsid w:val="0021738D"/>
    <w:rsid w:val="00220108"/>
    <w:rsid w:val="00220C40"/>
    <w:rsid w:val="002218E2"/>
    <w:rsid w:val="00222605"/>
    <w:rsid w:val="002229D4"/>
    <w:rsid w:val="002229F6"/>
    <w:rsid w:val="002233E1"/>
    <w:rsid w:val="002240CC"/>
    <w:rsid w:val="00225597"/>
    <w:rsid w:val="002268BA"/>
    <w:rsid w:val="00226D7B"/>
    <w:rsid w:val="00227924"/>
    <w:rsid w:val="002301F3"/>
    <w:rsid w:val="002307D0"/>
    <w:rsid w:val="00230F3B"/>
    <w:rsid w:val="00231B84"/>
    <w:rsid w:val="002325AD"/>
    <w:rsid w:val="0023286A"/>
    <w:rsid w:val="002328B6"/>
    <w:rsid w:val="00232D77"/>
    <w:rsid w:val="00232F5F"/>
    <w:rsid w:val="0023320D"/>
    <w:rsid w:val="0023351B"/>
    <w:rsid w:val="00233850"/>
    <w:rsid w:val="0023567E"/>
    <w:rsid w:val="0023646D"/>
    <w:rsid w:val="00236842"/>
    <w:rsid w:val="002374BB"/>
    <w:rsid w:val="00237688"/>
    <w:rsid w:val="002378B5"/>
    <w:rsid w:val="002414C4"/>
    <w:rsid w:val="002430F3"/>
    <w:rsid w:val="00243B21"/>
    <w:rsid w:val="00244BF3"/>
    <w:rsid w:val="00244C23"/>
    <w:rsid w:val="00244FBA"/>
    <w:rsid w:val="00245162"/>
    <w:rsid w:val="002458F5"/>
    <w:rsid w:val="002462E8"/>
    <w:rsid w:val="002463BA"/>
    <w:rsid w:val="00246AF4"/>
    <w:rsid w:val="00247650"/>
    <w:rsid w:val="002500C2"/>
    <w:rsid w:val="002503C3"/>
    <w:rsid w:val="00250E3A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3FDD"/>
    <w:rsid w:val="00254226"/>
    <w:rsid w:val="00254538"/>
    <w:rsid w:val="002563C5"/>
    <w:rsid w:val="00256820"/>
    <w:rsid w:val="00257077"/>
    <w:rsid w:val="0026012F"/>
    <w:rsid w:val="00260D46"/>
    <w:rsid w:val="002619A4"/>
    <w:rsid w:val="002627BE"/>
    <w:rsid w:val="002635DC"/>
    <w:rsid w:val="00263A29"/>
    <w:rsid w:val="002642A3"/>
    <w:rsid w:val="002642A8"/>
    <w:rsid w:val="002644B2"/>
    <w:rsid w:val="00264CC1"/>
    <w:rsid w:val="00265167"/>
    <w:rsid w:val="00265F3A"/>
    <w:rsid w:val="00267012"/>
    <w:rsid w:val="00267385"/>
    <w:rsid w:val="0026750A"/>
    <w:rsid w:val="002679C6"/>
    <w:rsid w:val="00270726"/>
    <w:rsid w:val="00271191"/>
    <w:rsid w:val="00272F67"/>
    <w:rsid w:val="0027340D"/>
    <w:rsid w:val="00274071"/>
    <w:rsid w:val="00274567"/>
    <w:rsid w:val="0027484A"/>
    <w:rsid w:val="00275176"/>
    <w:rsid w:val="0027542F"/>
    <w:rsid w:val="00275823"/>
    <w:rsid w:val="002760DB"/>
    <w:rsid w:val="0027780D"/>
    <w:rsid w:val="0028048E"/>
    <w:rsid w:val="002858A3"/>
    <w:rsid w:val="002901DC"/>
    <w:rsid w:val="00290420"/>
    <w:rsid w:val="002904BC"/>
    <w:rsid w:val="002906BE"/>
    <w:rsid w:val="00292565"/>
    <w:rsid w:val="0029273C"/>
    <w:rsid w:val="00292D02"/>
    <w:rsid w:val="00294197"/>
    <w:rsid w:val="002942AB"/>
    <w:rsid w:val="002948EA"/>
    <w:rsid w:val="00295831"/>
    <w:rsid w:val="002A01A7"/>
    <w:rsid w:val="002A15D2"/>
    <w:rsid w:val="002A1646"/>
    <w:rsid w:val="002A2186"/>
    <w:rsid w:val="002A2190"/>
    <w:rsid w:val="002A2408"/>
    <w:rsid w:val="002A3B56"/>
    <w:rsid w:val="002A4DE6"/>
    <w:rsid w:val="002A51C8"/>
    <w:rsid w:val="002A5910"/>
    <w:rsid w:val="002A669D"/>
    <w:rsid w:val="002A6AD1"/>
    <w:rsid w:val="002A6CDB"/>
    <w:rsid w:val="002A6DAA"/>
    <w:rsid w:val="002A7216"/>
    <w:rsid w:val="002A72AA"/>
    <w:rsid w:val="002A73D4"/>
    <w:rsid w:val="002A7749"/>
    <w:rsid w:val="002A77B6"/>
    <w:rsid w:val="002A7B1E"/>
    <w:rsid w:val="002B01B2"/>
    <w:rsid w:val="002B050B"/>
    <w:rsid w:val="002B1185"/>
    <w:rsid w:val="002B1607"/>
    <w:rsid w:val="002B2F1B"/>
    <w:rsid w:val="002B2F86"/>
    <w:rsid w:val="002B310A"/>
    <w:rsid w:val="002B31EF"/>
    <w:rsid w:val="002B3927"/>
    <w:rsid w:val="002B397C"/>
    <w:rsid w:val="002B4125"/>
    <w:rsid w:val="002B42EA"/>
    <w:rsid w:val="002B4900"/>
    <w:rsid w:val="002B4AB0"/>
    <w:rsid w:val="002B4CCD"/>
    <w:rsid w:val="002B54BD"/>
    <w:rsid w:val="002B56E3"/>
    <w:rsid w:val="002B5A4A"/>
    <w:rsid w:val="002B6674"/>
    <w:rsid w:val="002B6E04"/>
    <w:rsid w:val="002B79B2"/>
    <w:rsid w:val="002C169A"/>
    <w:rsid w:val="002C1E3C"/>
    <w:rsid w:val="002C2142"/>
    <w:rsid w:val="002C3332"/>
    <w:rsid w:val="002C37B0"/>
    <w:rsid w:val="002C44EF"/>
    <w:rsid w:val="002C4816"/>
    <w:rsid w:val="002C55D0"/>
    <w:rsid w:val="002C66D0"/>
    <w:rsid w:val="002C708B"/>
    <w:rsid w:val="002D0EA2"/>
    <w:rsid w:val="002D22FB"/>
    <w:rsid w:val="002D2579"/>
    <w:rsid w:val="002D2DCD"/>
    <w:rsid w:val="002D51AD"/>
    <w:rsid w:val="002D5397"/>
    <w:rsid w:val="002D5616"/>
    <w:rsid w:val="002D5722"/>
    <w:rsid w:val="002D589E"/>
    <w:rsid w:val="002D5BE1"/>
    <w:rsid w:val="002D6A99"/>
    <w:rsid w:val="002E0166"/>
    <w:rsid w:val="002E119B"/>
    <w:rsid w:val="002E27F1"/>
    <w:rsid w:val="002E2CAF"/>
    <w:rsid w:val="002E330F"/>
    <w:rsid w:val="002E362B"/>
    <w:rsid w:val="002E3BAB"/>
    <w:rsid w:val="002E6464"/>
    <w:rsid w:val="002E673D"/>
    <w:rsid w:val="002E6DB8"/>
    <w:rsid w:val="002E6E88"/>
    <w:rsid w:val="002F0EA4"/>
    <w:rsid w:val="002F1285"/>
    <w:rsid w:val="002F3140"/>
    <w:rsid w:val="002F4E78"/>
    <w:rsid w:val="002F59EA"/>
    <w:rsid w:val="002F5E58"/>
    <w:rsid w:val="002F610C"/>
    <w:rsid w:val="002F6BBE"/>
    <w:rsid w:val="002F6DD2"/>
    <w:rsid w:val="002F7B93"/>
    <w:rsid w:val="002F7CA7"/>
    <w:rsid w:val="003001C6"/>
    <w:rsid w:val="003002EF"/>
    <w:rsid w:val="00300926"/>
    <w:rsid w:val="00301AE2"/>
    <w:rsid w:val="00302152"/>
    <w:rsid w:val="003029AC"/>
    <w:rsid w:val="00303239"/>
    <w:rsid w:val="003037DB"/>
    <w:rsid w:val="00304203"/>
    <w:rsid w:val="00305F6B"/>
    <w:rsid w:val="00306E1A"/>
    <w:rsid w:val="00307418"/>
    <w:rsid w:val="003102E1"/>
    <w:rsid w:val="003105C9"/>
    <w:rsid w:val="003110DC"/>
    <w:rsid w:val="003110F7"/>
    <w:rsid w:val="00311A87"/>
    <w:rsid w:val="00311B3F"/>
    <w:rsid w:val="00311DAA"/>
    <w:rsid w:val="00313294"/>
    <w:rsid w:val="00313A98"/>
    <w:rsid w:val="00313D8B"/>
    <w:rsid w:val="00314EF0"/>
    <w:rsid w:val="00314F96"/>
    <w:rsid w:val="0031594F"/>
    <w:rsid w:val="00315FDA"/>
    <w:rsid w:val="003167FF"/>
    <w:rsid w:val="00316C03"/>
    <w:rsid w:val="003176E0"/>
    <w:rsid w:val="003178FA"/>
    <w:rsid w:val="00317CEA"/>
    <w:rsid w:val="0032000A"/>
    <w:rsid w:val="0032002E"/>
    <w:rsid w:val="0032168A"/>
    <w:rsid w:val="003223C0"/>
    <w:rsid w:val="00323549"/>
    <w:rsid w:val="0032381C"/>
    <w:rsid w:val="00323AB2"/>
    <w:rsid w:val="00323B20"/>
    <w:rsid w:val="00324DB6"/>
    <w:rsid w:val="0032501B"/>
    <w:rsid w:val="00325AA7"/>
    <w:rsid w:val="00325AEE"/>
    <w:rsid w:val="00325CA9"/>
    <w:rsid w:val="003263C0"/>
    <w:rsid w:val="00327668"/>
    <w:rsid w:val="003276E1"/>
    <w:rsid w:val="00330203"/>
    <w:rsid w:val="003308A8"/>
    <w:rsid w:val="0033134D"/>
    <w:rsid w:val="0033215F"/>
    <w:rsid w:val="00333419"/>
    <w:rsid w:val="003334FB"/>
    <w:rsid w:val="0033391D"/>
    <w:rsid w:val="00333EC9"/>
    <w:rsid w:val="00334A0C"/>
    <w:rsid w:val="00334FD4"/>
    <w:rsid w:val="0033563A"/>
    <w:rsid w:val="00335D49"/>
    <w:rsid w:val="00336381"/>
    <w:rsid w:val="00337759"/>
    <w:rsid w:val="00337EAF"/>
    <w:rsid w:val="003402D8"/>
    <w:rsid w:val="0034047A"/>
    <w:rsid w:val="00340AE3"/>
    <w:rsid w:val="003412E1"/>
    <w:rsid w:val="00341DBC"/>
    <w:rsid w:val="00342B35"/>
    <w:rsid w:val="00342C9F"/>
    <w:rsid w:val="00343748"/>
    <w:rsid w:val="00343C8A"/>
    <w:rsid w:val="00343C92"/>
    <w:rsid w:val="00343F1F"/>
    <w:rsid w:val="0034434F"/>
    <w:rsid w:val="00344708"/>
    <w:rsid w:val="003453C1"/>
    <w:rsid w:val="0034546C"/>
    <w:rsid w:val="00345A78"/>
    <w:rsid w:val="00345AE8"/>
    <w:rsid w:val="00345C67"/>
    <w:rsid w:val="00346AE1"/>
    <w:rsid w:val="003471E3"/>
    <w:rsid w:val="003476B4"/>
    <w:rsid w:val="00347A70"/>
    <w:rsid w:val="00350402"/>
    <w:rsid w:val="003509BB"/>
    <w:rsid w:val="00350DC3"/>
    <w:rsid w:val="0035165F"/>
    <w:rsid w:val="00351705"/>
    <w:rsid w:val="0035278E"/>
    <w:rsid w:val="003529D0"/>
    <w:rsid w:val="00352C65"/>
    <w:rsid w:val="00353510"/>
    <w:rsid w:val="00353F36"/>
    <w:rsid w:val="003541A2"/>
    <w:rsid w:val="00354F2D"/>
    <w:rsid w:val="00355CE4"/>
    <w:rsid w:val="003562E3"/>
    <w:rsid w:val="0035632F"/>
    <w:rsid w:val="0035715B"/>
    <w:rsid w:val="003573EB"/>
    <w:rsid w:val="00360015"/>
    <w:rsid w:val="00360DD4"/>
    <w:rsid w:val="00361598"/>
    <w:rsid w:val="00361EE1"/>
    <w:rsid w:val="00362D99"/>
    <w:rsid w:val="00363004"/>
    <w:rsid w:val="00363FE1"/>
    <w:rsid w:val="003640D5"/>
    <w:rsid w:val="0036411D"/>
    <w:rsid w:val="00365701"/>
    <w:rsid w:val="003657E3"/>
    <w:rsid w:val="0036650B"/>
    <w:rsid w:val="00366A46"/>
    <w:rsid w:val="00366D01"/>
    <w:rsid w:val="00370828"/>
    <w:rsid w:val="00371D66"/>
    <w:rsid w:val="00372AF9"/>
    <w:rsid w:val="00372E5F"/>
    <w:rsid w:val="00372FCC"/>
    <w:rsid w:val="00373343"/>
    <w:rsid w:val="00374DBD"/>
    <w:rsid w:val="003751BF"/>
    <w:rsid w:val="003755F5"/>
    <w:rsid w:val="00375D73"/>
    <w:rsid w:val="0037680A"/>
    <w:rsid w:val="00376CBA"/>
    <w:rsid w:val="00376F94"/>
    <w:rsid w:val="003776F5"/>
    <w:rsid w:val="00380045"/>
    <w:rsid w:val="00380955"/>
    <w:rsid w:val="00381721"/>
    <w:rsid w:val="003817A4"/>
    <w:rsid w:val="003824C6"/>
    <w:rsid w:val="00382ADF"/>
    <w:rsid w:val="00383266"/>
    <w:rsid w:val="003849DD"/>
    <w:rsid w:val="00385365"/>
    <w:rsid w:val="00385822"/>
    <w:rsid w:val="00386113"/>
    <w:rsid w:val="00386D99"/>
    <w:rsid w:val="00387731"/>
    <w:rsid w:val="003877F9"/>
    <w:rsid w:val="003905DD"/>
    <w:rsid w:val="003909B1"/>
    <w:rsid w:val="00390FB2"/>
    <w:rsid w:val="00391B9A"/>
    <w:rsid w:val="003924F5"/>
    <w:rsid w:val="0039270D"/>
    <w:rsid w:val="0039376D"/>
    <w:rsid w:val="0039452A"/>
    <w:rsid w:val="0039462D"/>
    <w:rsid w:val="003949EF"/>
    <w:rsid w:val="00394D36"/>
    <w:rsid w:val="00395954"/>
    <w:rsid w:val="00396406"/>
    <w:rsid w:val="00396C7B"/>
    <w:rsid w:val="00396E39"/>
    <w:rsid w:val="00397429"/>
    <w:rsid w:val="00397A19"/>
    <w:rsid w:val="00397B8A"/>
    <w:rsid w:val="003A0BFF"/>
    <w:rsid w:val="003A0E9D"/>
    <w:rsid w:val="003A12E0"/>
    <w:rsid w:val="003A201B"/>
    <w:rsid w:val="003A2484"/>
    <w:rsid w:val="003A2846"/>
    <w:rsid w:val="003A3C7E"/>
    <w:rsid w:val="003A5E05"/>
    <w:rsid w:val="003A68D1"/>
    <w:rsid w:val="003A7819"/>
    <w:rsid w:val="003A7F2F"/>
    <w:rsid w:val="003A7FD1"/>
    <w:rsid w:val="003B0C36"/>
    <w:rsid w:val="003B1240"/>
    <w:rsid w:val="003B182B"/>
    <w:rsid w:val="003B21AC"/>
    <w:rsid w:val="003B367D"/>
    <w:rsid w:val="003B3AD0"/>
    <w:rsid w:val="003B4928"/>
    <w:rsid w:val="003B4FFD"/>
    <w:rsid w:val="003B5D4F"/>
    <w:rsid w:val="003B60A4"/>
    <w:rsid w:val="003B6146"/>
    <w:rsid w:val="003B6C1E"/>
    <w:rsid w:val="003B78A1"/>
    <w:rsid w:val="003B7F48"/>
    <w:rsid w:val="003C0663"/>
    <w:rsid w:val="003C1B6D"/>
    <w:rsid w:val="003C1DD9"/>
    <w:rsid w:val="003C220E"/>
    <w:rsid w:val="003C270E"/>
    <w:rsid w:val="003C3EF1"/>
    <w:rsid w:val="003C4C2E"/>
    <w:rsid w:val="003C5CCD"/>
    <w:rsid w:val="003C6293"/>
    <w:rsid w:val="003C7990"/>
    <w:rsid w:val="003C7BFD"/>
    <w:rsid w:val="003C7CC5"/>
    <w:rsid w:val="003C7ED6"/>
    <w:rsid w:val="003D042F"/>
    <w:rsid w:val="003D0DC9"/>
    <w:rsid w:val="003D1505"/>
    <w:rsid w:val="003D2C47"/>
    <w:rsid w:val="003D3B3A"/>
    <w:rsid w:val="003D3C42"/>
    <w:rsid w:val="003D448B"/>
    <w:rsid w:val="003D4B5F"/>
    <w:rsid w:val="003D5BE1"/>
    <w:rsid w:val="003D60F9"/>
    <w:rsid w:val="003D6EB5"/>
    <w:rsid w:val="003D79BB"/>
    <w:rsid w:val="003E0ABD"/>
    <w:rsid w:val="003E1244"/>
    <w:rsid w:val="003E2D4B"/>
    <w:rsid w:val="003E3A33"/>
    <w:rsid w:val="003E408C"/>
    <w:rsid w:val="003E4B27"/>
    <w:rsid w:val="003E5E42"/>
    <w:rsid w:val="003E5F71"/>
    <w:rsid w:val="003E6602"/>
    <w:rsid w:val="003E75F8"/>
    <w:rsid w:val="003E7655"/>
    <w:rsid w:val="003F06A3"/>
    <w:rsid w:val="003F093C"/>
    <w:rsid w:val="003F0D5A"/>
    <w:rsid w:val="003F1D27"/>
    <w:rsid w:val="003F2E94"/>
    <w:rsid w:val="003F2EEF"/>
    <w:rsid w:val="003F3248"/>
    <w:rsid w:val="003F37C4"/>
    <w:rsid w:val="003F3FA0"/>
    <w:rsid w:val="003F465E"/>
    <w:rsid w:val="003F5816"/>
    <w:rsid w:val="003F6109"/>
    <w:rsid w:val="003F63AA"/>
    <w:rsid w:val="003F682F"/>
    <w:rsid w:val="003F7219"/>
    <w:rsid w:val="003F743A"/>
    <w:rsid w:val="003F7779"/>
    <w:rsid w:val="003F785D"/>
    <w:rsid w:val="003F7E36"/>
    <w:rsid w:val="003F7EEF"/>
    <w:rsid w:val="004000E7"/>
    <w:rsid w:val="00400F20"/>
    <w:rsid w:val="00400FEC"/>
    <w:rsid w:val="004011AB"/>
    <w:rsid w:val="004014E7"/>
    <w:rsid w:val="00402789"/>
    <w:rsid w:val="00403654"/>
    <w:rsid w:val="00403D62"/>
    <w:rsid w:val="004050EA"/>
    <w:rsid w:val="00405ACB"/>
    <w:rsid w:val="00406523"/>
    <w:rsid w:val="004068E1"/>
    <w:rsid w:val="00406B40"/>
    <w:rsid w:val="00407CE1"/>
    <w:rsid w:val="00410394"/>
    <w:rsid w:val="00410521"/>
    <w:rsid w:val="0041107A"/>
    <w:rsid w:val="00412282"/>
    <w:rsid w:val="00412385"/>
    <w:rsid w:val="00413D30"/>
    <w:rsid w:val="00414638"/>
    <w:rsid w:val="00414A08"/>
    <w:rsid w:val="00414B10"/>
    <w:rsid w:val="004163EC"/>
    <w:rsid w:val="00416445"/>
    <w:rsid w:val="00416CC8"/>
    <w:rsid w:val="00416DA9"/>
    <w:rsid w:val="00416FCF"/>
    <w:rsid w:val="00417697"/>
    <w:rsid w:val="004213F5"/>
    <w:rsid w:val="004217F5"/>
    <w:rsid w:val="00422248"/>
    <w:rsid w:val="004226D1"/>
    <w:rsid w:val="004235A5"/>
    <w:rsid w:val="004237AB"/>
    <w:rsid w:val="00423B6B"/>
    <w:rsid w:val="00425B40"/>
    <w:rsid w:val="00425E59"/>
    <w:rsid w:val="0042616B"/>
    <w:rsid w:val="00426283"/>
    <w:rsid w:val="004263B4"/>
    <w:rsid w:val="00426701"/>
    <w:rsid w:val="0042698C"/>
    <w:rsid w:val="0042744D"/>
    <w:rsid w:val="00427799"/>
    <w:rsid w:val="00427B43"/>
    <w:rsid w:val="004319BE"/>
    <w:rsid w:val="00431AD0"/>
    <w:rsid w:val="00432FF7"/>
    <w:rsid w:val="004331ED"/>
    <w:rsid w:val="00434211"/>
    <w:rsid w:val="0043431F"/>
    <w:rsid w:val="004354A4"/>
    <w:rsid w:val="00435ABC"/>
    <w:rsid w:val="00436202"/>
    <w:rsid w:val="00436E3D"/>
    <w:rsid w:val="00440512"/>
    <w:rsid w:val="00441800"/>
    <w:rsid w:val="00442855"/>
    <w:rsid w:val="0044295F"/>
    <w:rsid w:val="00443FC7"/>
    <w:rsid w:val="004445DB"/>
    <w:rsid w:val="004455A3"/>
    <w:rsid w:val="00445952"/>
    <w:rsid w:val="00446C32"/>
    <w:rsid w:val="00450B93"/>
    <w:rsid w:val="00451F65"/>
    <w:rsid w:val="004524C4"/>
    <w:rsid w:val="0045290B"/>
    <w:rsid w:val="004539B4"/>
    <w:rsid w:val="00454079"/>
    <w:rsid w:val="00454615"/>
    <w:rsid w:val="004548B0"/>
    <w:rsid w:val="00454B5B"/>
    <w:rsid w:val="0045557D"/>
    <w:rsid w:val="00455993"/>
    <w:rsid w:val="0045615A"/>
    <w:rsid w:val="0045680B"/>
    <w:rsid w:val="004576EB"/>
    <w:rsid w:val="004577D2"/>
    <w:rsid w:val="004606CA"/>
    <w:rsid w:val="00460F07"/>
    <w:rsid w:val="00461670"/>
    <w:rsid w:val="00461A49"/>
    <w:rsid w:val="00461DDB"/>
    <w:rsid w:val="00462CC2"/>
    <w:rsid w:val="00462D1B"/>
    <w:rsid w:val="00463071"/>
    <w:rsid w:val="00464555"/>
    <w:rsid w:val="00464F60"/>
    <w:rsid w:val="00464F69"/>
    <w:rsid w:val="00465530"/>
    <w:rsid w:val="00465BA7"/>
    <w:rsid w:val="00466224"/>
    <w:rsid w:val="00467C63"/>
    <w:rsid w:val="00472487"/>
    <w:rsid w:val="00472EF6"/>
    <w:rsid w:val="004738F4"/>
    <w:rsid w:val="00473FA7"/>
    <w:rsid w:val="00473FCA"/>
    <w:rsid w:val="004746E9"/>
    <w:rsid w:val="004750D7"/>
    <w:rsid w:val="004755EA"/>
    <w:rsid w:val="00475BDC"/>
    <w:rsid w:val="00475C3E"/>
    <w:rsid w:val="00476607"/>
    <w:rsid w:val="00476729"/>
    <w:rsid w:val="0047694F"/>
    <w:rsid w:val="00477151"/>
    <w:rsid w:val="004775AC"/>
    <w:rsid w:val="004777AE"/>
    <w:rsid w:val="00477E86"/>
    <w:rsid w:val="0048138F"/>
    <w:rsid w:val="00482A6B"/>
    <w:rsid w:val="004838B9"/>
    <w:rsid w:val="00484138"/>
    <w:rsid w:val="004848B9"/>
    <w:rsid w:val="00484A0B"/>
    <w:rsid w:val="00485C15"/>
    <w:rsid w:val="0048614E"/>
    <w:rsid w:val="00490245"/>
    <w:rsid w:val="00491175"/>
    <w:rsid w:val="00492420"/>
    <w:rsid w:val="004925EB"/>
    <w:rsid w:val="00492878"/>
    <w:rsid w:val="004929D1"/>
    <w:rsid w:val="00492CAC"/>
    <w:rsid w:val="00493121"/>
    <w:rsid w:val="00493326"/>
    <w:rsid w:val="004933DE"/>
    <w:rsid w:val="004935E2"/>
    <w:rsid w:val="00493E38"/>
    <w:rsid w:val="0049451D"/>
    <w:rsid w:val="00494C24"/>
    <w:rsid w:val="00494CF6"/>
    <w:rsid w:val="00495866"/>
    <w:rsid w:val="004962E8"/>
    <w:rsid w:val="0049636D"/>
    <w:rsid w:val="0049678E"/>
    <w:rsid w:val="004968D3"/>
    <w:rsid w:val="00496D34"/>
    <w:rsid w:val="004A09E9"/>
    <w:rsid w:val="004A0A72"/>
    <w:rsid w:val="004A1ED5"/>
    <w:rsid w:val="004A20C2"/>
    <w:rsid w:val="004A3E1D"/>
    <w:rsid w:val="004A4A00"/>
    <w:rsid w:val="004A6E6A"/>
    <w:rsid w:val="004A7825"/>
    <w:rsid w:val="004B074E"/>
    <w:rsid w:val="004B100D"/>
    <w:rsid w:val="004B1F9B"/>
    <w:rsid w:val="004B3238"/>
    <w:rsid w:val="004B408E"/>
    <w:rsid w:val="004B4916"/>
    <w:rsid w:val="004B4ADA"/>
    <w:rsid w:val="004B58DB"/>
    <w:rsid w:val="004B61EA"/>
    <w:rsid w:val="004B67A3"/>
    <w:rsid w:val="004B6A0B"/>
    <w:rsid w:val="004B6E49"/>
    <w:rsid w:val="004B6EE0"/>
    <w:rsid w:val="004B6F39"/>
    <w:rsid w:val="004B75F7"/>
    <w:rsid w:val="004B79B2"/>
    <w:rsid w:val="004C026F"/>
    <w:rsid w:val="004C0A2F"/>
    <w:rsid w:val="004C10DD"/>
    <w:rsid w:val="004C1CED"/>
    <w:rsid w:val="004C3C95"/>
    <w:rsid w:val="004C416E"/>
    <w:rsid w:val="004C43B7"/>
    <w:rsid w:val="004C565B"/>
    <w:rsid w:val="004C6573"/>
    <w:rsid w:val="004C65D8"/>
    <w:rsid w:val="004C6882"/>
    <w:rsid w:val="004C7198"/>
    <w:rsid w:val="004C7556"/>
    <w:rsid w:val="004D04EC"/>
    <w:rsid w:val="004D05CB"/>
    <w:rsid w:val="004D05CC"/>
    <w:rsid w:val="004D0DD4"/>
    <w:rsid w:val="004D0F35"/>
    <w:rsid w:val="004D1C54"/>
    <w:rsid w:val="004D21FA"/>
    <w:rsid w:val="004D23DD"/>
    <w:rsid w:val="004D2C49"/>
    <w:rsid w:val="004D37CD"/>
    <w:rsid w:val="004D38D2"/>
    <w:rsid w:val="004D3DDA"/>
    <w:rsid w:val="004D3E61"/>
    <w:rsid w:val="004D4401"/>
    <w:rsid w:val="004D52F7"/>
    <w:rsid w:val="004D56D1"/>
    <w:rsid w:val="004D6A6C"/>
    <w:rsid w:val="004D6EF2"/>
    <w:rsid w:val="004D7D73"/>
    <w:rsid w:val="004E05AF"/>
    <w:rsid w:val="004E1E99"/>
    <w:rsid w:val="004E1FD9"/>
    <w:rsid w:val="004E23E3"/>
    <w:rsid w:val="004E2654"/>
    <w:rsid w:val="004E30EB"/>
    <w:rsid w:val="004E3677"/>
    <w:rsid w:val="004E3BF9"/>
    <w:rsid w:val="004E5680"/>
    <w:rsid w:val="004E5C73"/>
    <w:rsid w:val="004E5FDA"/>
    <w:rsid w:val="004E6E0A"/>
    <w:rsid w:val="004E704E"/>
    <w:rsid w:val="004E7D3F"/>
    <w:rsid w:val="004E7D5D"/>
    <w:rsid w:val="004F0496"/>
    <w:rsid w:val="004F1000"/>
    <w:rsid w:val="004F15C7"/>
    <w:rsid w:val="004F20D3"/>
    <w:rsid w:val="004F3620"/>
    <w:rsid w:val="004F3B5B"/>
    <w:rsid w:val="004F4120"/>
    <w:rsid w:val="004F512C"/>
    <w:rsid w:val="004F5B80"/>
    <w:rsid w:val="004F6BBB"/>
    <w:rsid w:val="004F6C15"/>
    <w:rsid w:val="004F6C6B"/>
    <w:rsid w:val="004F74C5"/>
    <w:rsid w:val="004F7501"/>
    <w:rsid w:val="00501C5C"/>
    <w:rsid w:val="0050294F"/>
    <w:rsid w:val="00502CC8"/>
    <w:rsid w:val="005034FD"/>
    <w:rsid w:val="00503999"/>
    <w:rsid w:val="00503EC8"/>
    <w:rsid w:val="00505542"/>
    <w:rsid w:val="00505872"/>
    <w:rsid w:val="0050590E"/>
    <w:rsid w:val="00505CAF"/>
    <w:rsid w:val="00505D6F"/>
    <w:rsid w:val="0050667B"/>
    <w:rsid w:val="005102B1"/>
    <w:rsid w:val="00511199"/>
    <w:rsid w:val="00511BE8"/>
    <w:rsid w:val="00512AE7"/>
    <w:rsid w:val="005138F8"/>
    <w:rsid w:val="00514B39"/>
    <w:rsid w:val="005162D4"/>
    <w:rsid w:val="0051707F"/>
    <w:rsid w:val="00517B14"/>
    <w:rsid w:val="005201B9"/>
    <w:rsid w:val="00521450"/>
    <w:rsid w:val="005217B0"/>
    <w:rsid w:val="00521C8F"/>
    <w:rsid w:val="00521E8D"/>
    <w:rsid w:val="00522886"/>
    <w:rsid w:val="005229CD"/>
    <w:rsid w:val="00522F1E"/>
    <w:rsid w:val="005233DA"/>
    <w:rsid w:val="0052466A"/>
    <w:rsid w:val="005253F5"/>
    <w:rsid w:val="00525C69"/>
    <w:rsid w:val="00525EA8"/>
    <w:rsid w:val="005263A3"/>
    <w:rsid w:val="00530486"/>
    <w:rsid w:val="005315B4"/>
    <w:rsid w:val="005315F0"/>
    <w:rsid w:val="00531C17"/>
    <w:rsid w:val="0053251F"/>
    <w:rsid w:val="0053316E"/>
    <w:rsid w:val="005331DE"/>
    <w:rsid w:val="00533A7E"/>
    <w:rsid w:val="005365F1"/>
    <w:rsid w:val="00536D4B"/>
    <w:rsid w:val="0053743E"/>
    <w:rsid w:val="00537EAD"/>
    <w:rsid w:val="0054179F"/>
    <w:rsid w:val="00541E6E"/>
    <w:rsid w:val="00541EFF"/>
    <w:rsid w:val="00542A44"/>
    <w:rsid w:val="00543AA3"/>
    <w:rsid w:val="005449F2"/>
    <w:rsid w:val="00544F7A"/>
    <w:rsid w:val="00545846"/>
    <w:rsid w:val="00545B64"/>
    <w:rsid w:val="00545D4A"/>
    <w:rsid w:val="00545D9B"/>
    <w:rsid w:val="00546EF7"/>
    <w:rsid w:val="00546F54"/>
    <w:rsid w:val="005506BD"/>
    <w:rsid w:val="00552141"/>
    <w:rsid w:val="0055272D"/>
    <w:rsid w:val="00552BDE"/>
    <w:rsid w:val="005535BC"/>
    <w:rsid w:val="00553934"/>
    <w:rsid w:val="00554045"/>
    <w:rsid w:val="00554703"/>
    <w:rsid w:val="005548CF"/>
    <w:rsid w:val="00554F0A"/>
    <w:rsid w:val="00555B49"/>
    <w:rsid w:val="005569E5"/>
    <w:rsid w:val="00556AD8"/>
    <w:rsid w:val="00556F55"/>
    <w:rsid w:val="005570F1"/>
    <w:rsid w:val="0055785B"/>
    <w:rsid w:val="00557FD3"/>
    <w:rsid w:val="00560131"/>
    <w:rsid w:val="0056033D"/>
    <w:rsid w:val="00560548"/>
    <w:rsid w:val="0056098F"/>
    <w:rsid w:val="00560D67"/>
    <w:rsid w:val="005617B0"/>
    <w:rsid w:val="0056214A"/>
    <w:rsid w:val="005637AE"/>
    <w:rsid w:val="0056382E"/>
    <w:rsid w:val="0056407C"/>
    <w:rsid w:val="00564792"/>
    <w:rsid w:val="005649AB"/>
    <w:rsid w:val="00565E9F"/>
    <w:rsid w:val="00566CD4"/>
    <w:rsid w:val="00566F62"/>
    <w:rsid w:val="00567B24"/>
    <w:rsid w:val="00567C34"/>
    <w:rsid w:val="00570198"/>
    <w:rsid w:val="005707B7"/>
    <w:rsid w:val="00573C83"/>
    <w:rsid w:val="00574C86"/>
    <w:rsid w:val="0058238C"/>
    <w:rsid w:val="00583377"/>
    <w:rsid w:val="0058455F"/>
    <w:rsid w:val="0058493F"/>
    <w:rsid w:val="00584944"/>
    <w:rsid w:val="00584DD6"/>
    <w:rsid w:val="00587790"/>
    <w:rsid w:val="00587E3F"/>
    <w:rsid w:val="00590AA0"/>
    <w:rsid w:val="00591438"/>
    <w:rsid w:val="00591B84"/>
    <w:rsid w:val="005927F6"/>
    <w:rsid w:val="005937AB"/>
    <w:rsid w:val="00594AC2"/>
    <w:rsid w:val="00594FDD"/>
    <w:rsid w:val="005961DF"/>
    <w:rsid w:val="00596507"/>
    <w:rsid w:val="0059710C"/>
    <w:rsid w:val="005A0488"/>
    <w:rsid w:val="005A0B5A"/>
    <w:rsid w:val="005A0E16"/>
    <w:rsid w:val="005A3311"/>
    <w:rsid w:val="005A3556"/>
    <w:rsid w:val="005A4E26"/>
    <w:rsid w:val="005A5003"/>
    <w:rsid w:val="005A6A6D"/>
    <w:rsid w:val="005A6B79"/>
    <w:rsid w:val="005A73D6"/>
    <w:rsid w:val="005B109D"/>
    <w:rsid w:val="005B1567"/>
    <w:rsid w:val="005B1587"/>
    <w:rsid w:val="005B15A7"/>
    <w:rsid w:val="005B335A"/>
    <w:rsid w:val="005B4888"/>
    <w:rsid w:val="005B5361"/>
    <w:rsid w:val="005B5B77"/>
    <w:rsid w:val="005B62F3"/>
    <w:rsid w:val="005B686A"/>
    <w:rsid w:val="005B6C8B"/>
    <w:rsid w:val="005B7131"/>
    <w:rsid w:val="005B79B4"/>
    <w:rsid w:val="005B7B9F"/>
    <w:rsid w:val="005C1560"/>
    <w:rsid w:val="005C2056"/>
    <w:rsid w:val="005C3BCF"/>
    <w:rsid w:val="005C51DB"/>
    <w:rsid w:val="005C53B9"/>
    <w:rsid w:val="005C775D"/>
    <w:rsid w:val="005C7B97"/>
    <w:rsid w:val="005D05DF"/>
    <w:rsid w:val="005D07E2"/>
    <w:rsid w:val="005D0DFB"/>
    <w:rsid w:val="005D149C"/>
    <w:rsid w:val="005D1538"/>
    <w:rsid w:val="005D15CC"/>
    <w:rsid w:val="005D1FE0"/>
    <w:rsid w:val="005D3D2D"/>
    <w:rsid w:val="005D40D4"/>
    <w:rsid w:val="005D51C1"/>
    <w:rsid w:val="005D551E"/>
    <w:rsid w:val="005D68E3"/>
    <w:rsid w:val="005D6B97"/>
    <w:rsid w:val="005E19C1"/>
    <w:rsid w:val="005E2643"/>
    <w:rsid w:val="005E2B37"/>
    <w:rsid w:val="005E2C58"/>
    <w:rsid w:val="005E382F"/>
    <w:rsid w:val="005E4CB1"/>
    <w:rsid w:val="005E4E7F"/>
    <w:rsid w:val="005E6006"/>
    <w:rsid w:val="005E6722"/>
    <w:rsid w:val="005E673D"/>
    <w:rsid w:val="005E7369"/>
    <w:rsid w:val="005E7DC4"/>
    <w:rsid w:val="005E7EAC"/>
    <w:rsid w:val="005F0FE2"/>
    <w:rsid w:val="005F141C"/>
    <w:rsid w:val="005F1AAB"/>
    <w:rsid w:val="005F2206"/>
    <w:rsid w:val="005F250D"/>
    <w:rsid w:val="005F2C85"/>
    <w:rsid w:val="005F3507"/>
    <w:rsid w:val="005F3735"/>
    <w:rsid w:val="005F4516"/>
    <w:rsid w:val="005F4935"/>
    <w:rsid w:val="005F4A5C"/>
    <w:rsid w:val="005F55AA"/>
    <w:rsid w:val="005F6018"/>
    <w:rsid w:val="005F7563"/>
    <w:rsid w:val="005F7805"/>
    <w:rsid w:val="006000CB"/>
    <w:rsid w:val="006005E3"/>
    <w:rsid w:val="00600614"/>
    <w:rsid w:val="00600A51"/>
    <w:rsid w:val="00601677"/>
    <w:rsid w:val="00602317"/>
    <w:rsid w:val="00602FFA"/>
    <w:rsid w:val="00603EFD"/>
    <w:rsid w:val="00604455"/>
    <w:rsid w:val="0060493A"/>
    <w:rsid w:val="00605A7B"/>
    <w:rsid w:val="00605AD5"/>
    <w:rsid w:val="00606EB5"/>
    <w:rsid w:val="00607A0B"/>
    <w:rsid w:val="00607D07"/>
    <w:rsid w:val="006103CE"/>
    <w:rsid w:val="006108E4"/>
    <w:rsid w:val="00610E1F"/>
    <w:rsid w:val="006116FD"/>
    <w:rsid w:val="00611A97"/>
    <w:rsid w:val="00611E2D"/>
    <w:rsid w:val="0061254B"/>
    <w:rsid w:val="006128A5"/>
    <w:rsid w:val="00613D1E"/>
    <w:rsid w:val="00613E02"/>
    <w:rsid w:val="0061476C"/>
    <w:rsid w:val="00614D3D"/>
    <w:rsid w:val="0061513A"/>
    <w:rsid w:val="00617675"/>
    <w:rsid w:val="00617827"/>
    <w:rsid w:val="00617A6D"/>
    <w:rsid w:val="006205D1"/>
    <w:rsid w:val="0062070D"/>
    <w:rsid w:val="00621FBC"/>
    <w:rsid w:val="00622345"/>
    <w:rsid w:val="00622E93"/>
    <w:rsid w:val="00623351"/>
    <w:rsid w:val="00623557"/>
    <w:rsid w:val="006235A3"/>
    <w:rsid w:val="00623C4E"/>
    <w:rsid w:val="006240F8"/>
    <w:rsid w:val="0062467B"/>
    <w:rsid w:val="00624690"/>
    <w:rsid w:val="00624692"/>
    <w:rsid w:val="00624BE5"/>
    <w:rsid w:val="00625900"/>
    <w:rsid w:val="00625CE0"/>
    <w:rsid w:val="00626476"/>
    <w:rsid w:val="00627082"/>
    <w:rsid w:val="006271D8"/>
    <w:rsid w:val="0062773D"/>
    <w:rsid w:val="0062776D"/>
    <w:rsid w:val="00627CF8"/>
    <w:rsid w:val="00630AA6"/>
    <w:rsid w:val="006311D9"/>
    <w:rsid w:val="006312C9"/>
    <w:rsid w:val="00632843"/>
    <w:rsid w:val="00633E44"/>
    <w:rsid w:val="00633E87"/>
    <w:rsid w:val="00634881"/>
    <w:rsid w:val="00635067"/>
    <w:rsid w:val="006351DF"/>
    <w:rsid w:val="00635952"/>
    <w:rsid w:val="006369E7"/>
    <w:rsid w:val="00636D5B"/>
    <w:rsid w:val="00636F6E"/>
    <w:rsid w:val="00637BD2"/>
    <w:rsid w:val="00640061"/>
    <w:rsid w:val="0064144C"/>
    <w:rsid w:val="006419E0"/>
    <w:rsid w:val="00641E0C"/>
    <w:rsid w:val="00642592"/>
    <w:rsid w:val="00642FB4"/>
    <w:rsid w:val="00643D96"/>
    <w:rsid w:val="00643EDD"/>
    <w:rsid w:val="00644024"/>
    <w:rsid w:val="0064515F"/>
    <w:rsid w:val="006461A6"/>
    <w:rsid w:val="00646546"/>
    <w:rsid w:val="00646557"/>
    <w:rsid w:val="006465D5"/>
    <w:rsid w:val="00647CE8"/>
    <w:rsid w:val="006500BE"/>
    <w:rsid w:val="00650425"/>
    <w:rsid w:val="00651814"/>
    <w:rsid w:val="006531D3"/>
    <w:rsid w:val="0065386A"/>
    <w:rsid w:val="00653EE1"/>
    <w:rsid w:val="006540C3"/>
    <w:rsid w:val="006545F2"/>
    <w:rsid w:val="006556C0"/>
    <w:rsid w:val="006556E8"/>
    <w:rsid w:val="006579C1"/>
    <w:rsid w:val="00657CD4"/>
    <w:rsid w:val="006603A6"/>
    <w:rsid w:val="006603BF"/>
    <w:rsid w:val="0066063C"/>
    <w:rsid w:val="006619AA"/>
    <w:rsid w:val="006627A5"/>
    <w:rsid w:val="00662AEB"/>
    <w:rsid w:val="00663313"/>
    <w:rsid w:val="00664FA6"/>
    <w:rsid w:val="00666A1B"/>
    <w:rsid w:val="00666CB5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4132"/>
    <w:rsid w:val="00675327"/>
    <w:rsid w:val="00675971"/>
    <w:rsid w:val="00681939"/>
    <w:rsid w:val="00681B6F"/>
    <w:rsid w:val="00682879"/>
    <w:rsid w:val="00683AF6"/>
    <w:rsid w:val="0068428D"/>
    <w:rsid w:val="00684561"/>
    <w:rsid w:val="00684F93"/>
    <w:rsid w:val="00685080"/>
    <w:rsid w:val="00685082"/>
    <w:rsid w:val="0068599C"/>
    <w:rsid w:val="00685C50"/>
    <w:rsid w:val="00685CDC"/>
    <w:rsid w:val="00685DE6"/>
    <w:rsid w:val="00685E91"/>
    <w:rsid w:val="006862B4"/>
    <w:rsid w:val="006871FE"/>
    <w:rsid w:val="00687764"/>
    <w:rsid w:val="006902AD"/>
    <w:rsid w:val="0069091E"/>
    <w:rsid w:val="00690E03"/>
    <w:rsid w:val="006920C4"/>
    <w:rsid w:val="006923A5"/>
    <w:rsid w:val="00692CFA"/>
    <w:rsid w:val="00694734"/>
    <w:rsid w:val="00694746"/>
    <w:rsid w:val="00694B64"/>
    <w:rsid w:val="00695362"/>
    <w:rsid w:val="00696014"/>
    <w:rsid w:val="00696A5A"/>
    <w:rsid w:val="006A03A8"/>
    <w:rsid w:val="006A04E6"/>
    <w:rsid w:val="006A0540"/>
    <w:rsid w:val="006A0853"/>
    <w:rsid w:val="006A0932"/>
    <w:rsid w:val="006A1368"/>
    <w:rsid w:val="006A1943"/>
    <w:rsid w:val="006A28DC"/>
    <w:rsid w:val="006A28F1"/>
    <w:rsid w:val="006A435C"/>
    <w:rsid w:val="006A44D0"/>
    <w:rsid w:val="006A474B"/>
    <w:rsid w:val="006A5748"/>
    <w:rsid w:val="006A6235"/>
    <w:rsid w:val="006A6B1A"/>
    <w:rsid w:val="006A6B87"/>
    <w:rsid w:val="006A6C56"/>
    <w:rsid w:val="006A7666"/>
    <w:rsid w:val="006B056A"/>
    <w:rsid w:val="006B124D"/>
    <w:rsid w:val="006B26D5"/>
    <w:rsid w:val="006B27D0"/>
    <w:rsid w:val="006B43C6"/>
    <w:rsid w:val="006B5B9C"/>
    <w:rsid w:val="006B5EC2"/>
    <w:rsid w:val="006B66E5"/>
    <w:rsid w:val="006B6A50"/>
    <w:rsid w:val="006B6DFB"/>
    <w:rsid w:val="006B7CAD"/>
    <w:rsid w:val="006B7D5D"/>
    <w:rsid w:val="006C0378"/>
    <w:rsid w:val="006C06F8"/>
    <w:rsid w:val="006C1A2F"/>
    <w:rsid w:val="006C23F4"/>
    <w:rsid w:val="006C25AF"/>
    <w:rsid w:val="006C2610"/>
    <w:rsid w:val="006C2709"/>
    <w:rsid w:val="006C28A8"/>
    <w:rsid w:val="006C486C"/>
    <w:rsid w:val="006C4AA6"/>
    <w:rsid w:val="006C4C06"/>
    <w:rsid w:val="006C55D7"/>
    <w:rsid w:val="006C56DA"/>
    <w:rsid w:val="006C5951"/>
    <w:rsid w:val="006C5D9F"/>
    <w:rsid w:val="006C6541"/>
    <w:rsid w:val="006C6E06"/>
    <w:rsid w:val="006D1040"/>
    <w:rsid w:val="006D16F5"/>
    <w:rsid w:val="006D1E83"/>
    <w:rsid w:val="006D333F"/>
    <w:rsid w:val="006D34D3"/>
    <w:rsid w:val="006D3843"/>
    <w:rsid w:val="006D51A2"/>
    <w:rsid w:val="006D5585"/>
    <w:rsid w:val="006D5987"/>
    <w:rsid w:val="006D5B1A"/>
    <w:rsid w:val="006D62AF"/>
    <w:rsid w:val="006E000B"/>
    <w:rsid w:val="006E0317"/>
    <w:rsid w:val="006E0E99"/>
    <w:rsid w:val="006E1603"/>
    <w:rsid w:val="006E195F"/>
    <w:rsid w:val="006E2DC2"/>
    <w:rsid w:val="006E3F74"/>
    <w:rsid w:val="006E3FA7"/>
    <w:rsid w:val="006E4A41"/>
    <w:rsid w:val="006E4B29"/>
    <w:rsid w:val="006E6F0B"/>
    <w:rsid w:val="006E70B3"/>
    <w:rsid w:val="006E7602"/>
    <w:rsid w:val="006E76EC"/>
    <w:rsid w:val="006F0900"/>
    <w:rsid w:val="006F2621"/>
    <w:rsid w:val="006F2B64"/>
    <w:rsid w:val="006F2C97"/>
    <w:rsid w:val="006F2F8C"/>
    <w:rsid w:val="006F306F"/>
    <w:rsid w:val="006F363C"/>
    <w:rsid w:val="006F3A38"/>
    <w:rsid w:val="006F3E89"/>
    <w:rsid w:val="006F5050"/>
    <w:rsid w:val="006F521F"/>
    <w:rsid w:val="006F53D6"/>
    <w:rsid w:val="006F5B47"/>
    <w:rsid w:val="006F6506"/>
    <w:rsid w:val="006F7D7C"/>
    <w:rsid w:val="007002F4"/>
    <w:rsid w:val="00701CC3"/>
    <w:rsid w:val="00704F09"/>
    <w:rsid w:val="00705335"/>
    <w:rsid w:val="0070649F"/>
    <w:rsid w:val="00706941"/>
    <w:rsid w:val="00706CF6"/>
    <w:rsid w:val="00706D98"/>
    <w:rsid w:val="00706EB5"/>
    <w:rsid w:val="00706FE4"/>
    <w:rsid w:val="0070722F"/>
    <w:rsid w:val="00710752"/>
    <w:rsid w:val="00710A48"/>
    <w:rsid w:val="00710D3D"/>
    <w:rsid w:val="007128E5"/>
    <w:rsid w:val="00712E2A"/>
    <w:rsid w:val="00713196"/>
    <w:rsid w:val="0071378F"/>
    <w:rsid w:val="00713B9E"/>
    <w:rsid w:val="00713C8F"/>
    <w:rsid w:val="00713FB7"/>
    <w:rsid w:val="00715372"/>
    <w:rsid w:val="007158B2"/>
    <w:rsid w:val="00716595"/>
    <w:rsid w:val="00716618"/>
    <w:rsid w:val="0071664A"/>
    <w:rsid w:val="00716ECA"/>
    <w:rsid w:val="00716FF2"/>
    <w:rsid w:val="00717567"/>
    <w:rsid w:val="00717CC0"/>
    <w:rsid w:val="00720AFC"/>
    <w:rsid w:val="007210FC"/>
    <w:rsid w:val="007214EE"/>
    <w:rsid w:val="0072153D"/>
    <w:rsid w:val="00721C3C"/>
    <w:rsid w:val="00721C73"/>
    <w:rsid w:val="0072251B"/>
    <w:rsid w:val="00722782"/>
    <w:rsid w:val="00723778"/>
    <w:rsid w:val="0072427F"/>
    <w:rsid w:val="00724563"/>
    <w:rsid w:val="00724A72"/>
    <w:rsid w:val="007256B4"/>
    <w:rsid w:val="00726A09"/>
    <w:rsid w:val="00727C73"/>
    <w:rsid w:val="00727C7F"/>
    <w:rsid w:val="00727DD9"/>
    <w:rsid w:val="00727FDC"/>
    <w:rsid w:val="0073009B"/>
    <w:rsid w:val="007309B4"/>
    <w:rsid w:val="00731366"/>
    <w:rsid w:val="007314FC"/>
    <w:rsid w:val="00731D82"/>
    <w:rsid w:val="00732D25"/>
    <w:rsid w:val="00733528"/>
    <w:rsid w:val="007335EB"/>
    <w:rsid w:val="007336F3"/>
    <w:rsid w:val="00737344"/>
    <w:rsid w:val="00737912"/>
    <w:rsid w:val="00740C16"/>
    <w:rsid w:val="0074198E"/>
    <w:rsid w:val="00742557"/>
    <w:rsid w:val="00743163"/>
    <w:rsid w:val="00743A74"/>
    <w:rsid w:val="00743DDC"/>
    <w:rsid w:val="00743F28"/>
    <w:rsid w:val="00744CE2"/>
    <w:rsid w:val="00744F20"/>
    <w:rsid w:val="007450DA"/>
    <w:rsid w:val="0074612C"/>
    <w:rsid w:val="0074647E"/>
    <w:rsid w:val="007468E9"/>
    <w:rsid w:val="0074749D"/>
    <w:rsid w:val="00747782"/>
    <w:rsid w:val="007479F1"/>
    <w:rsid w:val="0075069A"/>
    <w:rsid w:val="00751F6B"/>
    <w:rsid w:val="007524C6"/>
    <w:rsid w:val="0075264C"/>
    <w:rsid w:val="00752AC9"/>
    <w:rsid w:val="00753DBC"/>
    <w:rsid w:val="007543B9"/>
    <w:rsid w:val="00754BB3"/>
    <w:rsid w:val="00754F3C"/>
    <w:rsid w:val="00755520"/>
    <w:rsid w:val="00756080"/>
    <w:rsid w:val="007563D6"/>
    <w:rsid w:val="007563F3"/>
    <w:rsid w:val="00757086"/>
    <w:rsid w:val="00757206"/>
    <w:rsid w:val="00757BF5"/>
    <w:rsid w:val="00757ED7"/>
    <w:rsid w:val="0076088D"/>
    <w:rsid w:val="007617B2"/>
    <w:rsid w:val="00761877"/>
    <w:rsid w:val="0076464A"/>
    <w:rsid w:val="007649A1"/>
    <w:rsid w:val="007669E5"/>
    <w:rsid w:val="00766F84"/>
    <w:rsid w:val="007671A4"/>
    <w:rsid w:val="007676A2"/>
    <w:rsid w:val="007679DB"/>
    <w:rsid w:val="00770207"/>
    <w:rsid w:val="0077106F"/>
    <w:rsid w:val="00771163"/>
    <w:rsid w:val="007713DD"/>
    <w:rsid w:val="007715BF"/>
    <w:rsid w:val="00772ED1"/>
    <w:rsid w:val="007736FC"/>
    <w:rsid w:val="00773E5D"/>
    <w:rsid w:val="00774315"/>
    <w:rsid w:val="00774FA1"/>
    <w:rsid w:val="0077503E"/>
    <w:rsid w:val="00776139"/>
    <w:rsid w:val="007767F4"/>
    <w:rsid w:val="00777BCC"/>
    <w:rsid w:val="00780388"/>
    <w:rsid w:val="00780A76"/>
    <w:rsid w:val="00780AD5"/>
    <w:rsid w:val="00781DB2"/>
    <w:rsid w:val="0078220C"/>
    <w:rsid w:val="007825B3"/>
    <w:rsid w:val="00783248"/>
    <w:rsid w:val="00783774"/>
    <w:rsid w:val="00783E12"/>
    <w:rsid w:val="00785097"/>
    <w:rsid w:val="0078513E"/>
    <w:rsid w:val="00786BAA"/>
    <w:rsid w:val="0078725D"/>
    <w:rsid w:val="00790477"/>
    <w:rsid w:val="00790E6C"/>
    <w:rsid w:val="00791354"/>
    <w:rsid w:val="00791854"/>
    <w:rsid w:val="0079194B"/>
    <w:rsid w:val="007929DF"/>
    <w:rsid w:val="00792C7F"/>
    <w:rsid w:val="00793394"/>
    <w:rsid w:val="00793545"/>
    <w:rsid w:val="007947E9"/>
    <w:rsid w:val="007953C4"/>
    <w:rsid w:val="0079549E"/>
    <w:rsid w:val="0079561A"/>
    <w:rsid w:val="00795D43"/>
    <w:rsid w:val="00796577"/>
    <w:rsid w:val="00797EA5"/>
    <w:rsid w:val="007A1A26"/>
    <w:rsid w:val="007A2267"/>
    <w:rsid w:val="007A2B60"/>
    <w:rsid w:val="007A3199"/>
    <w:rsid w:val="007A4919"/>
    <w:rsid w:val="007A4A8A"/>
    <w:rsid w:val="007A6259"/>
    <w:rsid w:val="007A6A7F"/>
    <w:rsid w:val="007B1AF5"/>
    <w:rsid w:val="007B1F88"/>
    <w:rsid w:val="007B22B2"/>
    <w:rsid w:val="007B2C4C"/>
    <w:rsid w:val="007B364B"/>
    <w:rsid w:val="007B3E2C"/>
    <w:rsid w:val="007B4827"/>
    <w:rsid w:val="007B54FC"/>
    <w:rsid w:val="007B55B6"/>
    <w:rsid w:val="007B607D"/>
    <w:rsid w:val="007B6B9E"/>
    <w:rsid w:val="007B72DA"/>
    <w:rsid w:val="007B787E"/>
    <w:rsid w:val="007B7B3F"/>
    <w:rsid w:val="007B7D74"/>
    <w:rsid w:val="007B7DC9"/>
    <w:rsid w:val="007C02F5"/>
    <w:rsid w:val="007C0A1D"/>
    <w:rsid w:val="007C0B27"/>
    <w:rsid w:val="007C12E6"/>
    <w:rsid w:val="007C1608"/>
    <w:rsid w:val="007C1E27"/>
    <w:rsid w:val="007C218E"/>
    <w:rsid w:val="007C2388"/>
    <w:rsid w:val="007C2DDA"/>
    <w:rsid w:val="007C30FA"/>
    <w:rsid w:val="007C313D"/>
    <w:rsid w:val="007C380A"/>
    <w:rsid w:val="007C4F33"/>
    <w:rsid w:val="007C5880"/>
    <w:rsid w:val="007C5A4E"/>
    <w:rsid w:val="007C5B91"/>
    <w:rsid w:val="007C5FBD"/>
    <w:rsid w:val="007C77D2"/>
    <w:rsid w:val="007C7F87"/>
    <w:rsid w:val="007D08A2"/>
    <w:rsid w:val="007D08DE"/>
    <w:rsid w:val="007D0D86"/>
    <w:rsid w:val="007D10B7"/>
    <w:rsid w:val="007D16A9"/>
    <w:rsid w:val="007D1EDA"/>
    <w:rsid w:val="007D2187"/>
    <w:rsid w:val="007D2795"/>
    <w:rsid w:val="007D2879"/>
    <w:rsid w:val="007D2EA4"/>
    <w:rsid w:val="007D41D0"/>
    <w:rsid w:val="007D449E"/>
    <w:rsid w:val="007D55B5"/>
    <w:rsid w:val="007D5619"/>
    <w:rsid w:val="007D7190"/>
    <w:rsid w:val="007D723E"/>
    <w:rsid w:val="007D7830"/>
    <w:rsid w:val="007D7AF2"/>
    <w:rsid w:val="007E0EE5"/>
    <w:rsid w:val="007E0FCE"/>
    <w:rsid w:val="007E167E"/>
    <w:rsid w:val="007E2A78"/>
    <w:rsid w:val="007E30AC"/>
    <w:rsid w:val="007E33F8"/>
    <w:rsid w:val="007E37CD"/>
    <w:rsid w:val="007E3CBD"/>
    <w:rsid w:val="007E42DE"/>
    <w:rsid w:val="007E4DE1"/>
    <w:rsid w:val="007E5476"/>
    <w:rsid w:val="007E5485"/>
    <w:rsid w:val="007E5696"/>
    <w:rsid w:val="007E64F6"/>
    <w:rsid w:val="007F150E"/>
    <w:rsid w:val="007F19CB"/>
    <w:rsid w:val="007F1AC5"/>
    <w:rsid w:val="007F236B"/>
    <w:rsid w:val="007F3157"/>
    <w:rsid w:val="007F317E"/>
    <w:rsid w:val="007F3871"/>
    <w:rsid w:val="007F3C8A"/>
    <w:rsid w:val="007F3F59"/>
    <w:rsid w:val="007F402B"/>
    <w:rsid w:val="007F47AF"/>
    <w:rsid w:val="007F5DA6"/>
    <w:rsid w:val="007F76AD"/>
    <w:rsid w:val="00800D2E"/>
    <w:rsid w:val="00801AAE"/>
    <w:rsid w:val="00801BEE"/>
    <w:rsid w:val="00801EF0"/>
    <w:rsid w:val="00801FAB"/>
    <w:rsid w:val="0080254E"/>
    <w:rsid w:val="00802D6C"/>
    <w:rsid w:val="00804170"/>
    <w:rsid w:val="00804EA9"/>
    <w:rsid w:val="00804EE6"/>
    <w:rsid w:val="00805C9D"/>
    <w:rsid w:val="0080617C"/>
    <w:rsid w:val="00806874"/>
    <w:rsid w:val="00806BF9"/>
    <w:rsid w:val="008070AD"/>
    <w:rsid w:val="0080722E"/>
    <w:rsid w:val="008073D9"/>
    <w:rsid w:val="00807763"/>
    <w:rsid w:val="00807D29"/>
    <w:rsid w:val="00810314"/>
    <w:rsid w:val="00810FAB"/>
    <w:rsid w:val="00811611"/>
    <w:rsid w:val="00811731"/>
    <w:rsid w:val="008119F3"/>
    <w:rsid w:val="008133AA"/>
    <w:rsid w:val="00814AAE"/>
    <w:rsid w:val="00815D38"/>
    <w:rsid w:val="00815F54"/>
    <w:rsid w:val="0081654C"/>
    <w:rsid w:val="008166C3"/>
    <w:rsid w:val="008166F5"/>
    <w:rsid w:val="008207B0"/>
    <w:rsid w:val="00820BFC"/>
    <w:rsid w:val="00820D4F"/>
    <w:rsid w:val="0082199C"/>
    <w:rsid w:val="00821C3C"/>
    <w:rsid w:val="008222B2"/>
    <w:rsid w:val="0082325A"/>
    <w:rsid w:val="00823CDC"/>
    <w:rsid w:val="008241B7"/>
    <w:rsid w:val="00824B20"/>
    <w:rsid w:val="008252C8"/>
    <w:rsid w:val="0082581B"/>
    <w:rsid w:val="00826369"/>
    <w:rsid w:val="008272B6"/>
    <w:rsid w:val="00827C78"/>
    <w:rsid w:val="00830BA6"/>
    <w:rsid w:val="00831640"/>
    <w:rsid w:val="00831641"/>
    <w:rsid w:val="008339AC"/>
    <w:rsid w:val="00833A9E"/>
    <w:rsid w:val="00833B3E"/>
    <w:rsid w:val="00834800"/>
    <w:rsid w:val="008352D0"/>
    <w:rsid w:val="00835463"/>
    <w:rsid w:val="00835791"/>
    <w:rsid w:val="00835917"/>
    <w:rsid w:val="00835DF6"/>
    <w:rsid w:val="008365CC"/>
    <w:rsid w:val="00836EE5"/>
    <w:rsid w:val="00837834"/>
    <w:rsid w:val="008379E9"/>
    <w:rsid w:val="00840847"/>
    <w:rsid w:val="00840C5C"/>
    <w:rsid w:val="00841823"/>
    <w:rsid w:val="008423CF"/>
    <w:rsid w:val="00842A8B"/>
    <w:rsid w:val="00842EE8"/>
    <w:rsid w:val="008434EA"/>
    <w:rsid w:val="008436C8"/>
    <w:rsid w:val="008437EB"/>
    <w:rsid w:val="00843CF5"/>
    <w:rsid w:val="00844422"/>
    <w:rsid w:val="0084450D"/>
    <w:rsid w:val="008450D0"/>
    <w:rsid w:val="008459AE"/>
    <w:rsid w:val="00847632"/>
    <w:rsid w:val="008476E1"/>
    <w:rsid w:val="00847F7C"/>
    <w:rsid w:val="00850810"/>
    <w:rsid w:val="00850D6D"/>
    <w:rsid w:val="008523F7"/>
    <w:rsid w:val="00852B25"/>
    <w:rsid w:val="00852BED"/>
    <w:rsid w:val="00853FD9"/>
    <w:rsid w:val="00854F58"/>
    <w:rsid w:val="00856B55"/>
    <w:rsid w:val="0085732B"/>
    <w:rsid w:val="008576E4"/>
    <w:rsid w:val="00857D7F"/>
    <w:rsid w:val="00857F4E"/>
    <w:rsid w:val="0086000A"/>
    <w:rsid w:val="00861585"/>
    <w:rsid w:val="00862020"/>
    <w:rsid w:val="0086239E"/>
    <w:rsid w:val="008623E9"/>
    <w:rsid w:val="0086265A"/>
    <w:rsid w:val="00863EC8"/>
    <w:rsid w:val="008643AC"/>
    <w:rsid w:val="00864409"/>
    <w:rsid w:val="008645FD"/>
    <w:rsid w:val="008651C5"/>
    <w:rsid w:val="00866122"/>
    <w:rsid w:val="00866202"/>
    <w:rsid w:val="00866619"/>
    <w:rsid w:val="00866B6B"/>
    <w:rsid w:val="0086797E"/>
    <w:rsid w:val="00867FEB"/>
    <w:rsid w:val="008709A6"/>
    <w:rsid w:val="00870DA5"/>
    <w:rsid w:val="00870F98"/>
    <w:rsid w:val="00871204"/>
    <w:rsid w:val="00871677"/>
    <w:rsid w:val="00871721"/>
    <w:rsid w:val="00871C43"/>
    <w:rsid w:val="00872FD8"/>
    <w:rsid w:val="00873B53"/>
    <w:rsid w:val="00873C40"/>
    <w:rsid w:val="00873DB9"/>
    <w:rsid w:val="008747DF"/>
    <w:rsid w:val="008757D2"/>
    <w:rsid w:val="0087625C"/>
    <w:rsid w:val="00877A4D"/>
    <w:rsid w:val="00880E7E"/>
    <w:rsid w:val="008817B7"/>
    <w:rsid w:val="0088221D"/>
    <w:rsid w:val="00882279"/>
    <w:rsid w:val="00882A99"/>
    <w:rsid w:val="00883378"/>
    <w:rsid w:val="008836C1"/>
    <w:rsid w:val="008840F7"/>
    <w:rsid w:val="008842F0"/>
    <w:rsid w:val="00884E67"/>
    <w:rsid w:val="00885489"/>
    <w:rsid w:val="00885836"/>
    <w:rsid w:val="008865BD"/>
    <w:rsid w:val="00886A10"/>
    <w:rsid w:val="00890B60"/>
    <w:rsid w:val="00890EBF"/>
    <w:rsid w:val="00891905"/>
    <w:rsid w:val="008936F0"/>
    <w:rsid w:val="00893EC0"/>
    <w:rsid w:val="00894430"/>
    <w:rsid w:val="008955FF"/>
    <w:rsid w:val="00896829"/>
    <w:rsid w:val="00897030"/>
    <w:rsid w:val="008A14D2"/>
    <w:rsid w:val="008A3121"/>
    <w:rsid w:val="008A38DA"/>
    <w:rsid w:val="008A409C"/>
    <w:rsid w:val="008A4170"/>
    <w:rsid w:val="008A41CB"/>
    <w:rsid w:val="008A5DDD"/>
    <w:rsid w:val="008A5F6F"/>
    <w:rsid w:val="008A6255"/>
    <w:rsid w:val="008A6A40"/>
    <w:rsid w:val="008A6B5F"/>
    <w:rsid w:val="008A6C72"/>
    <w:rsid w:val="008A6D08"/>
    <w:rsid w:val="008A7019"/>
    <w:rsid w:val="008A7B8A"/>
    <w:rsid w:val="008A7F7F"/>
    <w:rsid w:val="008B0FF5"/>
    <w:rsid w:val="008B110D"/>
    <w:rsid w:val="008B1273"/>
    <w:rsid w:val="008B16F3"/>
    <w:rsid w:val="008B3A6F"/>
    <w:rsid w:val="008B43E9"/>
    <w:rsid w:val="008B4A7E"/>
    <w:rsid w:val="008B4AB8"/>
    <w:rsid w:val="008B4EFE"/>
    <w:rsid w:val="008B58F3"/>
    <w:rsid w:val="008B6132"/>
    <w:rsid w:val="008B76F1"/>
    <w:rsid w:val="008B773B"/>
    <w:rsid w:val="008B7813"/>
    <w:rsid w:val="008B7EA6"/>
    <w:rsid w:val="008C0D48"/>
    <w:rsid w:val="008C0F29"/>
    <w:rsid w:val="008C28E2"/>
    <w:rsid w:val="008C37C0"/>
    <w:rsid w:val="008C39F8"/>
    <w:rsid w:val="008C3B70"/>
    <w:rsid w:val="008C40FD"/>
    <w:rsid w:val="008C5232"/>
    <w:rsid w:val="008C5A43"/>
    <w:rsid w:val="008C5B41"/>
    <w:rsid w:val="008C6D79"/>
    <w:rsid w:val="008C7C0C"/>
    <w:rsid w:val="008D0C7D"/>
    <w:rsid w:val="008D25FC"/>
    <w:rsid w:val="008D2A5C"/>
    <w:rsid w:val="008D2EF5"/>
    <w:rsid w:val="008D3303"/>
    <w:rsid w:val="008D4FB4"/>
    <w:rsid w:val="008D5BFF"/>
    <w:rsid w:val="008D5D34"/>
    <w:rsid w:val="008D6703"/>
    <w:rsid w:val="008E09BA"/>
    <w:rsid w:val="008E3613"/>
    <w:rsid w:val="008E37EB"/>
    <w:rsid w:val="008E3A7C"/>
    <w:rsid w:val="008E3CC5"/>
    <w:rsid w:val="008E4496"/>
    <w:rsid w:val="008E58A8"/>
    <w:rsid w:val="008E75A8"/>
    <w:rsid w:val="008E7746"/>
    <w:rsid w:val="008F089D"/>
    <w:rsid w:val="008F13F7"/>
    <w:rsid w:val="008F1B1B"/>
    <w:rsid w:val="008F1BF8"/>
    <w:rsid w:val="008F3629"/>
    <w:rsid w:val="008F3AF9"/>
    <w:rsid w:val="008F3CAF"/>
    <w:rsid w:val="008F3DCD"/>
    <w:rsid w:val="008F4513"/>
    <w:rsid w:val="008F50B9"/>
    <w:rsid w:val="008F618B"/>
    <w:rsid w:val="008F670D"/>
    <w:rsid w:val="008F6DF6"/>
    <w:rsid w:val="008F7251"/>
    <w:rsid w:val="008F7E10"/>
    <w:rsid w:val="009016ED"/>
    <w:rsid w:val="00901A0C"/>
    <w:rsid w:val="00901AA6"/>
    <w:rsid w:val="00901D76"/>
    <w:rsid w:val="00902474"/>
    <w:rsid w:val="00903961"/>
    <w:rsid w:val="00903D36"/>
    <w:rsid w:val="00904129"/>
    <w:rsid w:val="00904490"/>
    <w:rsid w:val="0090590F"/>
    <w:rsid w:val="009059A4"/>
    <w:rsid w:val="009068D7"/>
    <w:rsid w:val="00906AC2"/>
    <w:rsid w:val="009072EC"/>
    <w:rsid w:val="00907693"/>
    <w:rsid w:val="00907850"/>
    <w:rsid w:val="009107DB"/>
    <w:rsid w:val="009117E5"/>
    <w:rsid w:val="009117F1"/>
    <w:rsid w:val="00911949"/>
    <w:rsid w:val="00911FEF"/>
    <w:rsid w:val="009120F9"/>
    <w:rsid w:val="009139C0"/>
    <w:rsid w:val="0091433B"/>
    <w:rsid w:val="00914EB9"/>
    <w:rsid w:val="00915E32"/>
    <w:rsid w:val="00916DDC"/>
    <w:rsid w:val="00916F29"/>
    <w:rsid w:val="0091733B"/>
    <w:rsid w:val="0091785C"/>
    <w:rsid w:val="00917AA3"/>
    <w:rsid w:val="009202EA"/>
    <w:rsid w:val="00920594"/>
    <w:rsid w:val="00920885"/>
    <w:rsid w:val="00920A0F"/>
    <w:rsid w:val="00920AAE"/>
    <w:rsid w:val="00920CCC"/>
    <w:rsid w:val="009214F7"/>
    <w:rsid w:val="009218DD"/>
    <w:rsid w:val="00923310"/>
    <w:rsid w:val="009238DA"/>
    <w:rsid w:val="0092426A"/>
    <w:rsid w:val="00926A38"/>
    <w:rsid w:val="00926B4F"/>
    <w:rsid w:val="00927280"/>
    <w:rsid w:val="009274A1"/>
    <w:rsid w:val="00927CFA"/>
    <w:rsid w:val="009302C6"/>
    <w:rsid w:val="009305A1"/>
    <w:rsid w:val="009309A0"/>
    <w:rsid w:val="00931351"/>
    <w:rsid w:val="00932920"/>
    <w:rsid w:val="00933206"/>
    <w:rsid w:val="00933A59"/>
    <w:rsid w:val="00933B8A"/>
    <w:rsid w:val="00935F3B"/>
    <w:rsid w:val="00936BCF"/>
    <w:rsid w:val="00940153"/>
    <w:rsid w:val="009401EB"/>
    <w:rsid w:val="00940F30"/>
    <w:rsid w:val="00941857"/>
    <w:rsid w:val="0094234E"/>
    <w:rsid w:val="009426B1"/>
    <w:rsid w:val="00943341"/>
    <w:rsid w:val="009434C2"/>
    <w:rsid w:val="00943954"/>
    <w:rsid w:val="009442B2"/>
    <w:rsid w:val="00944556"/>
    <w:rsid w:val="009456A6"/>
    <w:rsid w:val="0094686E"/>
    <w:rsid w:val="00946929"/>
    <w:rsid w:val="00947E7C"/>
    <w:rsid w:val="00950376"/>
    <w:rsid w:val="0095042A"/>
    <w:rsid w:val="00950A48"/>
    <w:rsid w:val="00951531"/>
    <w:rsid w:val="00951CD0"/>
    <w:rsid w:val="00953C3D"/>
    <w:rsid w:val="00954F81"/>
    <w:rsid w:val="00954FFD"/>
    <w:rsid w:val="00955FA2"/>
    <w:rsid w:val="00956EE3"/>
    <w:rsid w:val="00956FC3"/>
    <w:rsid w:val="00957DD4"/>
    <w:rsid w:val="00961C9A"/>
    <w:rsid w:val="009623FA"/>
    <w:rsid w:val="0096255C"/>
    <w:rsid w:val="00963540"/>
    <w:rsid w:val="00963848"/>
    <w:rsid w:val="00963A36"/>
    <w:rsid w:val="00963A6C"/>
    <w:rsid w:val="00963F73"/>
    <w:rsid w:val="009643CD"/>
    <w:rsid w:val="009644A7"/>
    <w:rsid w:val="009648F5"/>
    <w:rsid w:val="009652FA"/>
    <w:rsid w:val="00965AEF"/>
    <w:rsid w:val="00965FC8"/>
    <w:rsid w:val="009669F8"/>
    <w:rsid w:val="00967196"/>
    <w:rsid w:val="00967834"/>
    <w:rsid w:val="009702C9"/>
    <w:rsid w:val="009702CD"/>
    <w:rsid w:val="00970900"/>
    <w:rsid w:val="00970C15"/>
    <w:rsid w:val="00971609"/>
    <w:rsid w:val="00971EB0"/>
    <w:rsid w:val="009725AA"/>
    <w:rsid w:val="009729F3"/>
    <w:rsid w:val="00972E59"/>
    <w:rsid w:val="00973781"/>
    <w:rsid w:val="00973BC5"/>
    <w:rsid w:val="00973C4F"/>
    <w:rsid w:val="00974CE1"/>
    <w:rsid w:val="00975F62"/>
    <w:rsid w:val="009765A2"/>
    <w:rsid w:val="009775C8"/>
    <w:rsid w:val="00980977"/>
    <w:rsid w:val="00981051"/>
    <w:rsid w:val="00981108"/>
    <w:rsid w:val="00981362"/>
    <w:rsid w:val="00981DC1"/>
    <w:rsid w:val="0098324D"/>
    <w:rsid w:val="00983368"/>
    <w:rsid w:val="009855F2"/>
    <w:rsid w:val="009855FA"/>
    <w:rsid w:val="009861E7"/>
    <w:rsid w:val="00986B01"/>
    <w:rsid w:val="00990485"/>
    <w:rsid w:val="00990E83"/>
    <w:rsid w:val="00991711"/>
    <w:rsid w:val="009917A6"/>
    <w:rsid w:val="009927A5"/>
    <w:rsid w:val="00993E1B"/>
    <w:rsid w:val="00994AE0"/>
    <w:rsid w:val="00994B4F"/>
    <w:rsid w:val="00994FBE"/>
    <w:rsid w:val="00995AE0"/>
    <w:rsid w:val="00996081"/>
    <w:rsid w:val="00996529"/>
    <w:rsid w:val="00997203"/>
    <w:rsid w:val="00997250"/>
    <w:rsid w:val="00997877"/>
    <w:rsid w:val="00997AB6"/>
    <w:rsid w:val="009A03F0"/>
    <w:rsid w:val="009A09EF"/>
    <w:rsid w:val="009A0FD3"/>
    <w:rsid w:val="009A254F"/>
    <w:rsid w:val="009A3998"/>
    <w:rsid w:val="009A4178"/>
    <w:rsid w:val="009A4A49"/>
    <w:rsid w:val="009A4CD8"/>
    <w:rsid w:val="009A68DE"/>
    <w:rsid w:val="009A7C52"/>
    <w:rsid w:val="009A7F81"/>
    <w:rsid w:val="009B0AFB"/>
    <w:rsid w:val="009B0DFE"/>
    <w:rsid w:val="009B14D3"/>
    <w:rsid w:val="009B292A"/>
    <w:rsid w:val="009B2A7A"/>
    <w:rsid w:val="009B3805"/>
    <w:rsid w:val="009B442C"/>
    <w:rsid w:val="009B492B"/>
    <w:rsid w:val="009B5566"/>
    <w:rsid w:val="009B5A60"/>
    <w:rsid w:val="009B5C8D"/>
    <w:rsid w:val="009B5D94"/>
    <w:rsid w:val="009B6244"/>
    <w:rsid w:val="009B66F2"/>
    <w:rsid w:val="009B7527"/>
    <w:rsid w:val="009B7922"/>
    <w:rsid w:val="009C0069"/>
    <w:rsid w:val="009C0A77"/>
    <w:rsid w:val="009C0F9D"/>
    <w:rsid w:val="009C1C5D"/>
    <w:rsid w:val="009C2316"/>
    <w:rsid w:val="009C2728"/>
    <w:rsid w:val="009C374C"/>
    <w:rsid w:val="009C4650"/>
    <w:rsid w:val="009C4D35"/>
    <w:rsid w:val="009C626E"/>
    <w:rsid w:val="009D00DB"/>
    <w:rsid w:val="009D1A16"/>
    <w:rsid w:val="009D2207"/>
    <w:rsid w:val="009D2697"/>
    <w:rsid w:val="009D3768"/>
    <w:rsid w:val="009D3A9B"/>
    <w:rsid w:val="009D412C"/>
    <w:rsid w:val="009D4944"/>
    <w:rsid w:val="009D6469"/>
    <w:rsid w:val="009D6D86"/>
    <w:rsid w:val="009D7BF8"/>
    <w:rsid w:val="009D7DA5"/>
    <w:rsid w:val="009E0132"/>
    <w:rsid w:val="009E04BC"/>
    <w:rsid w:val="009E113A"/>
    <w:rsid w:val="009E1EB2"/>
    <w:rsid w:val="009E2C39"/>
    <w:rsid w:val="009E2E17"/>
    <w:rsid w:val="009E318B"/>
    <w:rsid w:val="009E31E8"/>
    <w:rsid w:val="009E365A"/>
    <w:rsid w:val="009E562F"/>
    <w:rsid w:val="009E585D"/>
    <w:rsid w:val="009E6B40"/>
    <w:rsid w:val="009F206C"/>
    <w:rsid w:val="009F212F"/>
    <w:rsid w:val="009F37D2"/>
    <w:rsid w:val="009F3CD3"/>
    <w:rsid w:val="009F3CE9"/>
    <w:rsid w:val="009F3D6D"/>
    <w:rsid w:val="009F4F19"/>
    <w:rsid w:val="009F5E4D"/>
    <w:rsid w:val="009F62A5"/>
    <w:rsid w:val="009F688B"/>
    <w:rsid w:val="009F70FB"/>
    <w:rsid w:val="009F76A7"/>
    <w:rsid w:val="009F7EDC"/>
    <w:rsid w:val="00A00260"/>
    <w:rsid w:val="00A02486"/>
    <w:rsid w:val="00A0257B"/>
    <w:rsid w:val="00A02A3B"/>
    <w:rsid w:val="00A02DC0"/>
    <w:rsid w:val="00A05F4F"/>
    <w:rsid w:val="00A072CE"/>
    <w:rsid w:val="00A07EC7"/>
    <w:rsid w:val="00A10D4C"/>
    <w:rsid w:val="00A1128E"/>
    <w:rsid w:val="00A11520"/>
    <w:rsid w:val="00A11557"/>
    <w:rsid w:val="00A1207A"/>
    <w:rsid w:val="00A12960"/>
    <w:rsid w:val="00A135C5"/>
    <w:rsid w:val="00A13AD3"/>
    <w:rsid w:val="00A13BB8"/>
    <w:rsid w:val="00A14601"/>
    <w:rsid w:val="00A147E9"/>
    <w:rsid w:val="00A16D4A"/>
    <w:rsid w:val="00A1725F"/>
    <w:rsid w:val="00A17B34"/>
    <w:rsid w:val="00A17D1B"/>
    <w:rsid w:val="00A17E5A"/>
    <w:rsid w:val="00A20529"/>
    <w:rsid w:val="00A20BB5"/>
    <w:rsid w:val="00A20E47"/>
    <w:rsid w:val="00A22527"/>
    <w:rsid w:val="00A22830"/>
    <w:rsid w:val="00A24295"/>
    <w:rsid w:val="00A24D55"/>
    <w:rsid w:val="00A25B21"/>
    <w:rsid w:val="00A25E57"/>
    <w:rsid w:val="00A261FA"/>
    <w:rsid w:val="00A2691B"/>
    <w:rsid w:val="00A26E8D"/>
    <w:rsid w:val="00A26FA4"/>
    <w:rsid w:val="00A2761A"/>
    <w:rsid w:val="00A312F7"/>
    <w:rsid w:val="00A32223"/>
    <w:rsid w:val="00A32A33"/>
    <w:rsid w:val="00A3383D"/>
    <w:rsid w:val="00A33C5B"/>
    <w:rsid w:val="00A35702"/>
    <w:rsid w:val="00A36F17"/>
    <w:rsid w:val="00A378F0"/>
    <w:rsid w:val="00A4072A"/>
    <w:rsid w:val="00A41A4D"/>
    <w:rsid w:val="00A420E0"/>
    <w:rsid w:val="00A42D6A"/>
    <w:rsid w:val="00A43DA0"/>
    <w:rsid w:val="00A43EDF"/>
    <w:rsid w:val="00A462D8"/>
    <w:rsid w:val="00A465DC"/>
    <w:rsid w:val="00A46A73"/>
    <w:rsid w:val="00A46BFE"/>
    <w:rsid w:val="00A46C9F"/>
    <w:rsid w:val="00A473ED"/>
    <w:rsid w:val="00A47922"/>
    <w:rsid w:val="00A50A11"/>
    <w:rsid w:val="00A50BB1"/>
    <w:rsid w:val="00A5184E"/>
    <w:rsid w:val="00A51BFE"/>
    <w:rsid w:val="00A51F21"/>
    <w:rsid w:val="00A52503"/>
    <w:rsid w:val="00A525B2"/>
    <w:rsid w:val="00A527F3"/>
    <w:rsid w:val="00A52A9C"/>
    <w:rsid w:val="00A5357C"/>
    <w:rsid w:val="00A53BE8"/>
    <w:rsid w:val="00A5579F"/>
    <w:rsid w:val="00A55EA6"/>
    <w:rsid w:val="00A573B3"/>
    <w:rsid w:val="00A574EE"/>
    <w:rsid w:val="00A576C7"/>
    <w:rsid w:val="00A607C5"/>
    <w:rsid w:val="00A60B36"/>
    <w:rsid w:val="00A60F75"/>
    <w:rsid w:val="00A616C6"/>
    <w:rsid w:val="00A61F15"/>
    <w:rsid w:val="00A62A09"/>
    <w:rsid w:val="00A62D1D"/>
    <w:rsid w:val="00A63234"/>
    <w:rsid w:val="00A633F7"/>
    <w:rsid w:val="00A664B4"/>
    <w:rsid w:val="00A66622"/>
    <w:rsid w:val="00A705BD"/>
    <w:rsid w:val="00A7074D"/>
    <w:rsid w:val="00A71223"/>
    <w:rsid w:val="00A71694"/>
    <w:rsid w:val="00A716D6"/>
    <w:rsid w:val="00A72B88"/>
    <w:rsid w:val="00A73496"/>
    <w:rsid w:val="00A7559C"/>
    <w:rsid w:val="00A7577C"/>
    <w:rsid w:val="00A76426"/>
    <w:rsid w:val="00A77558"/>
    <w:rsid w:val="00A777E4"/>
    <w:rsid w:val="00A77C62"/>
    <w:rsid w:val="00A80684"/>
    <w:rsid w:val="00A80C64"/>
    <w:rsid w:val="00A80EDE"/>
    <w:rsid w:val="00A81578"/>
    <w:rsid w:val="00A81749"/>
    <w:rsid w:val="00A81A18"/>
    <w:rsid w:val="00A828BD"/>
    <w:rsid w:val="00A8346A"/>
    <w:rsid w:val="00A83CB4"/>
    <w:rsid w:val="00A847D0"/>
    <w:rsid w:val="00A85122"/>
    <w:rsid w:val="00A85156"/>
    <w:rsid w:val="00A8597D"/>
    <w:rsid w:val="00A85FAC"/>
    <w:rsid w:val="00A86123"/>
    <w:rsid w:val="00A8649C"/>
    <w:rsid w:val="00A867B9"/>
    <w:rsid w:val="00A86C00"/>
    <w:rsid w:val="00A87932"/>
    <w:rsid w:val="00A90012"/>
    <w:rsid w:val="00A90EE0"/>
    <w:rsid w:val="00A914DF"/>
    <w:rsid w:val="00A9397B"/>
    <w:rsid w:val="00A94572"/>
    <w:rsid w:val="00A964DF"/>
    <w:rsid w:val="00A96583"/>
    <w:rsid w:val="00A9667B"/>
    <w:rsid w:val="00A97020"/>
    <w:rsid w:val="00A974D8"/>
    <w:rsid w:val="00A976F2"/>
    <w:rsid w:val="00AA0175"/>
    <w:rsid w:val="00AA171E"/>
    <w:rsid w:val="00AA1D6E"/>
    <w:rsid w:val="00AA2496"/>
    <w:rsid w:val="00AA28B4"/>
    <w:rsid w:val="00AA293D"/>
    <w:rsid w:val="00AA2CEB"/>
    <w:rsid w:val="00AA3676"/>
    <w:rsid w:val="00AA3B6D"/>
    <w:rsid w:val="00AA50D4"/>
    <w:rsid w:val="00AA56B1"/>
    <w:rsid w:val="00AA5CBA"/>
    <w:rsid w:val="00AA6D41"/>
    <w:rsid w:val="00AA70EA"/>
    <w:rsid w:val="00AA7210"/>
    <w:rsid w:val="00AB0AC5"/>
    <w:rsid w:val="00AB2A4E"/>
    <w:rsid w:val="00AB2EAF"/>
    <w:rsid w:val="00AB3242"/>
    <w:rsid w:val="00AB3785"/>
    <w:rsid w:val="00AB37B4"/>
    <w:rsid w:val="00AB460D"/>
    <w:rsid w:val="00AB46EB"/>
    <w:rsid w:val="00AB551F"/>
    <w:rsid w:val="00AB5A4B"/>
    <w:rsid w:val="00AB68DF"/>
    <w:rsid w:val="00AB774A"/>
    <w:rsid w:val="00AB7915"/>
    <w:rsid w:val="00AC07CA"/>
    <w:rsid w:val="00AC14B0"/>
    <w:rsid w:val="00AC1820"/>
    <w:rsid w:val="00AC18FA"/>
    <w:rsid w:val="00AC1CE9"/>
    <w:rsid w:val="00AC1EB0"/>
    <w:rsid w:val="00AC233D"/>
    <w:rsid w:val="00AC2FCD"/>
    <w:rsid w:val="00AC32EA"/>
    <w:rsid w:val="00AC33CA"/>
    <w:rsid w:val="00AC3FF0"/>
    <w:rsid w:val="00AC4FB7"/>
    <w:rsid w:val="00AC5143"/>
    <w:rsid w:val="00AC572C"/>
    <w:rsid w:val="00AC596E"/>
    <w:rsid w:val="00AC630B"/>
    <w:rsid w:val="00AC65D1"/>
    <w:rsid w:val="00AC6931"/>
    <w:rsid w:val="00AC6AA6"/>
    <w:rsid w:val="00AC787F"/>
    <w:rsid w:val="00AC7AAD"/>
    <w:rsid w:val="00AD0C3F"/>
    <w:rsid w:val="00AD0D23"/>
    <w:rsid w:val="00AD0F1A"/>
    <w:rsid w:val="00AD1309"/>
    <w:rsid w:val="00AD1385"/>
    <w:rsid w:val="00AD223F"/>
    <w:rsid w:val="00AD2501"/>
    <w:rsid w:val="00AD2EC5"/>
    <w:rsid w:val="00AD33C8"/>
    <w:rsid w:val="00AD367A"/>
    <w:rsid w:val="00AD3C43"/>
    <w:rsid w:val="00AD4558"/>
    <w:rsid w:val="00AD4EFF"/>
    <w:rsid w:val="00AD54F4"/>
    <w:rsid w:val="00AD591A"/>
    <w:rsid w:val="00AD5DE6"/>
    <w:rsid w:val="00AD61C0"/>
    <w:rsid w:val="00AD62D4"/>
    <w:rsid w:val="00AD6AFC"/>
    <w:rsid w:val="00AD6D44"/>
    <w:rsid w:val="00AD7A40"/>
    <w:rsid w:val="00AD7A41"/>
    <w:rsid w:val="00AD7DA0"/>
    <w:rsid w:val="00AE0338"/>
    <w:rsid w:val="00AE1064"/>
    <w:rsid w:val="00AE1550"/>
    <w:rsid w:val="00AE19A5"/>
    <w:rsid w:val="00AE25DD"/>
    <w:rsid w:val="00AE2798"/>
    <w:rsid w:val="00AE3017"/>
    <w:rsid w:val="00AE339A"/>
    <w:rsid w:val="00AE37E9"/>
    <w:rsid w:val="00AE457B"/>
    <w:rsid w:val="00AE4852"/>
    <w:rsid w:val="00AE4913"/>
    <w:rsid w:val="00AE4D0E"/>
    <w:rsid w:val="00AE61C8"/>
    <w:rsid w:val="00AE635A"/>
    <w:rsid w:val="00AE66F7"/>
    <w:rsid w:val="00AE6943"/>
    <w:rsid w:val="00AE76C2"/>
    <w:rsid w:val="00AE7E28"/>
    <w:rsid w:val="00AF0289"/>
    <w:rsid w:val="00AF1D00"/>
    <w:rsid w:val="00AF2648"/>
    <w:rsid w:val="00AF27AF"/>
    <w:rsid w:val="00AF3184"/>
    <w:rsid w:val="00AF3D03"/>
    <w:rsid w:val="00AF3F91"/>
    <w:rsid w:val="00AF49AD"/>
    <w:rsid w:val="00AF4ADE"/>
    <w:rsid w:val="00AF52DC"/>
    <w:rsid w:val="00AF5DE8"/>
    <w:rsid w:val="00AF7377"/>
    <w:rsid w:val="00AF7F40"/>
    <w:rsid w:val="00B00149"/>
    <w:rsid w:val="00B002F5"/>
    <w:rsid w:val="00B00625"/>
    <w:rsid w:val="00B00C52"/>
    <w:rsid w:val="00B015BF"/>
    <w:rsid w:val="00B03882"/>
    <w:rsid w:val="00B03955"/>
    <w:rsid w:val="00B039DD"/>
    <w:rsid w:val="00B03DD6"/>
    <w:rsid w:val="00B0408E"/>
    <w:rsid w:val="00B047DE"/>
    <w:rsid w:val="00B04C4E"/>
    <w:rsid w:val="00B04F7A"/>
    <w:rsid w:val="00B0596C"/>
    <w:rsid w:val="00B05F11"/>
    <w:rsid w:val="00B06508"/>
    <w:rsid w:val="00B10EC4"/>
    <w:rsid w:val="00B110CF"/>
    <w:rsid w:val="00B11154"/>
    <w:rsid w:val="00B114D5"/>
    <w:rsid w:val="00B1173E"/>
    <w:rsid w:val="00B11D42"/>
    <w:rsid w:val="00B143BB"/>
    <w:rsid w:val="00B14985"/>
    <w:rsid w:val="00B15726"/>
    <w:rsid w:val="00B157E9"/>
    <w:rsid w:val="00B15A73"/>
    <w:rsid w:val="00B15F6D"/>
    <w:rsid w:val="00B1614E"/>
    <w:rsid w:val="00B16708"/>
    <w:rsid w:val="00B20163"/>
    <w:rsid w:val="00B21D0C"/>
    <w:rsid w:val="00B222C7"/>
    <w:rsid w:val="00B2245E"/>
    <w:rsid w:val="00B23C12"/>
    <w:rsid w:val="00B241B8"/>
    <w:rsid w:val="00B24234"/>
    <w:rsid w:val="00B24667"/>
    <w:rsid w:val="00B24A1A"/>
    <w:rsid w:val="00B25880"/>
    <w:rsid w:val="00B2599A"/>
    <w:rsid w:val="00B25FB6"/>
    <w:rsid w:val="00B27BDB"/>
    <w:rsid w:val="00B27C2A"/>
    <w:rsid w:val="00B27D02"/>
    <w:rsid w:val="00B27FAC"/>
    <w:rsid w:val="00B30FE5"/>
    <w:rsid w:val="00B31791"/>
    <w:rsid w:val="00B31CAB"/>
    <w:rsid w:val="00B32E30"/>
    <w:rsid w:val="00B3365E"/>
    <w:rsid w:val="00B33948"/>
    <w:rsid w:val="00B33A35"/>
    <w:rsid w:val="00B347B9"/>
    <w:rsid w:val="00B34EDE"/>
    <w:rsid w:val="00B353B5"/>
    <w:rsid w:val="00B360AB"/>
    <w:rsid w:val="00B36F99"/>
    <w:rsid w:val="00B36FF2"/>
    <w:rsid w:val="00B37402"/>
    <w:rsid w:val="00B3779E"/>
    <w:rsid w:val="00B37F4A"/>
    <w:rsid w:val="00B40D2C"/>
    <w:rsid w:val="00B42B77"/>
    <w:rsid w:val="00B43AE3"/>
    <w:rsid w:val="00B43FE7"/>
    <w:rsid w:val="00B440E2"/>
    <w:rsid w:val="00B4436C"/>
    <w:rsid w:val="00B445EE"/>
    <w:rsid w:val="00B447F4"/>
    <w:rsid w:val="00B4696A"/>
    <w:rsid w:val="00B46FF6"/>
    <w:rsid w:val="00B507DB"/>
    <w:rsid w:val="00B50AB3"/>
    <w:rsid w:val="00B5162B"/>
    <w:rsid w:val="00B516F1"/>
    <w:rsid w:val="00B54344"/>
    <w:rsid w:val="00B556B6"/>
    <w:rsid w:val="00B56BA9"/>
    <w:rsid w:val="00B60ADB"/>
    <w:rsid w:val="00B63CE6"/>
    <w:rsid w:val="00B63FDB"/>
    <w:rsid w:val="00B64629"/>
    <w:rsid w:val="00B651A0"/>
    <w:rsid w:val="00B663AA"/>
    <w:rsid w:val="00B67356"/>
    <w:rsid w:val="00B67445"/>
    <w:rsid w:val="00B678A0"/>
    <w:rsid w:val="00B678F0"/>
    <w:rsid w:val="00B70A45"/>
    <w:rsid w:val="00B718EC"/>
    <w:rsid w:val="00B722F6"/>
    <w:rsid w:val="00B72731"/>
    <w:rsid w:val="00B727C7"/>
    <w:rsid w:val="00B72801"/>
    <w:rsid w:val="00B73020"/>
    <w:rsid w:val="00B737B8"/>
    <w:rsid w:val="00B73C89"/>
    <w:rsid w:val="00B73D53"/>
    <w:rsid w:val="00B74AE1"/>
    <w:rsid w:val="00B74F11"/>
    <w:rsid w:val="00B7522D"/>
    <w:rsid w:val="00B754E4"/>
    <w:rsid w:val="00B75685"/>
    <w:rsid w:val="00B759A1"/>
    <w:rsid w:val="00B7664A"/>
    <w:rsid w:val="00B76652"/>
    <w:rsid w:val="00B81CE2"/>
    <w:rsid w:val="00B82588"/>
    <w:rsid w:val="00B843EC"/>
    <w:rsid w:val="00B844CB"/>
    <w:rsid w:val="00B849AB"/>
    <w:rsid w:val="00B84C6B"/>
    <w:rsid w:val="00B852E4"/>
    <w:rsid w:val="00B8688A"/>
    <w:rsid w:val="00B86C01"/>
    <w:rsid w:val="00B86E89"/>
    <w:rsid w:val="00B875F4"/>
    <w:rsid w:val="00B87605"/>
    <w:rsid w:val="00B87A06"/>
    <w:rsid w:val="00B87C7B"/>
    <w:rsid w:val="00B92D80"/>
    <w:rsid w:val="00B937F1"/>
    <w:rsid w:val="00B941A8"/>
    <w:rsid w:val="00B94B13"/>
    <w:rsid w:val="00B94BF0"/>
    <w:rsid w:val="00B95A50"/>
    <w:rsid w:val="00B95C7B"/>
    <w:rsid w:val="00B96CA9"/>
    <w:rsid w:val="00B974FE"/>
    <w:rsid w:val="00BA01FE"/>
    <w:rsid w:val="00BA04E9"/>
    <w:rsid w:val="00BA084B"/>
    <w:rsid w:val="00BA0C81"/>
    <w:rsid w:val="00BA2507"/>
    <w:rsid w:val="00BA2667"/>
    <w:rsid w:val="00BA2EBE"/>
    <w:rsid w:val="00BA3A21"/>
    <w:rsid w:val="00BA55C6"/>
    <w:rsid w:val="00BA5A40"/>
    <w:rsid w:val="00BA615D"/>
    <w:rsid w:val="00BA64B2"/>
    <w:rsid w:val="00BA748D"/>
    <w:rsid w:val="00BA77F3"/>
    <w:rsid w:val="00BB095A"/>
    <w:rsid w:val="00BB0C39"/>
    <w:rsid w:val="00BB104B"/>
    <w:rsid w:val="00BB112F"/>
    <w:rsid w:val="00BB1A5E"/>
    <w:rsid w:val="00BB31DA"/>
    <w:rsid w:val="00BB3A56"/>
    <w:rsid w:val="00BB3E69"/>
    <w:rsid w:val="00BB44D0"/>
    <w:rsid w:val="00BB4903"/>
    <w:rsid w:val="00BB496E"/>
    <w:rsid w:val="00BB54F0"/>
    <w:rsid w:val="00BB76E0"/>
    <w:rsid w:val="00BC065A"/>
    <w:rsid w:val="00BC0813"/>
    <w:rsid w:val="00BC09D8"/>
    <w:rsid w:val="00BC0DBE"/>
    <w:rsid w:val="00BC11E5"/>
    <w:rsid w:val="00BC1F32"/>
    <w:rsid w:val="00BC2184"/>
    <w:rsid w:val="00BC2DEB"/>
    <w:rsid w:val="00BC4CBF"/>
    <w:rsid w:val="00BC6CB2"/>
    <w:rsid w:val="00BC6EEE"/>
    <w:rsid w:val="00BC720C"/>
    <w:rsid w:val="00BC7A83"/>
    <w:rsid w:val="00BD0E17"/>
    <w:rsid w:val="00BD270E"/>
    <w:rsid w:val="00BD2717"/>
    <w:rsid w:val="00BD2C5C"/>
    <w:rsid w:val="00BD2DC0"/>
    <w:rsid w:val="00BD302A"/>
    <w:rsid w:val="00BD339B"/>
    <w:rsid w:val="00BD3857"/>
    <w:rsid w:val="00BD3FD5"/>
    <w:rsid w:val="00BD44B0"/>
    <w:rsid w:val="00BD4BFD"/>
    <w:rsid w:val="00BD6303"/>
    <w:rsid w:val="00BD6A70"/>
    <w:rsid w:val="00BD6B19"/>
    <w:rsid w:val="00BD7316"/>
    <w:rsid w:val="00BD7423"/>
    <w:rsid w:val="00BD7801"/>
    <w:rsid w:val="00BD7929"/>
    <w:rsid w:val="00BD7E3D"/>
    <w:rsid w:val="00BE0223"/>
    <w:rsid w:val="00BE0F1F"/>
    <w:rsid w:val="00BE1191"/>
    <w:rsid w:val="00BE1841"/>
    <w:rsid w:val="00BE3031"/>
    <w:rsid w:val="00BE3C5B"/>
    <w:rsid w:val="00BE4495"/>
    <w:rsid w:val="00BE4C98"/>
    <w:rsid w:val="00BE7484"/>
    <w:rsid w:val="00BE76ED"/>
    <w:rsid w:val="00BE7FEE"/>
    <w:rsid w:val="00BF03FB"/>
    <w:rsid w:val="00BF0481"/>
    <w:rsid w:val="00BF084C"/>
    <w:rsid w:val="00BF0CF2"/>
    <w:rsid w:val="00BF1683"/>
    <w:rsid w:val="00BF1792"/>
    <w:rsid w:val="00BF1A94"/>
    <w:rsid w:val="00BF2DB6"/>
    <w:rsid w:val="00BF3AB8"/>
    <w:rsid w:val="00BF4D17"/>
    <w:rsid w:val="00BF7EAA"/>
    <w:rsid w:val="00C003B6"/>
    <w:rsid w:val="00C00599"/>
    <w:rsid w:val="00C00C00"/>
    <w:rsid w:val="00C011DD"/>
    <w:rsid w:val="00C03062"/>
    <w:rsid w:val="00C03D44"/>
    <w:rsid w:val="00C03F61"/>
    <w:rsid w:val="00C0475A"/>
    <w:rsid w:val="00C049D5"/>
    <w:rsid w:val="00C05F90"/>
    <w:rsid w:val="00C0780D"/>
    <w:rsid w:val="00C07B12"/>
    <w:rsid w:val="00C07DF4"/>
    <w:rsid w:val="00C11BB9"/>
    <w:rsid w:val="00C121DF"/>
    <w:rsid w:val="00C1255A"/>
    <w:rsid w:val="00C1373F"/>
    <w:rsid w:val="00C1489D"/>
    <w:rsid w:val="00C15059"/>
    <w:rsid w:val="00C15B97"/>
    <w:rsid w:val="00C1646F"/>
    <w:rsid w:val="00C16E78"/>
    <w:rsid w:val="00C16F8D"/>
    <w:rsid w:val="00C20467"/>
    <w:rsid w:val="00C20D09"/>
    <w:rsid w:val="00C20FB3"/>
    <w:rsid w:val="00C21A37"/>
    <w:rsid w:val="00C223DD"/>
    <w:rsid w:val="00C231F7"/>
    <w:rsid w:val="00C236E8"/>
    <w:rsid w:val="00C23DBE"/>
    <w:rsid w:val="00C23F49"/>
    <w:rsid w:val="00C24469"/>
    <w:rsid w:val="00C2504D"/>
    <w:rsid w:val="00C25FBE"/>
    <w:rsid w:val="00C30B2A"/>
    <w:rsid w:val="00C318B2"/>
    <w:rsid w:val="00C32480"/>
    <w:rsid w:val="00C32915"/>
    <w:rsid w:val="00C32F47"/>
    <w:rsid w:val="00C33D1D"/>
    <w:rsid w:val="00C4158C"/>
    <w:rsid w:val="00C41A61"/>
    <w:rsid w:val="00C41EB9"/>
    <w:rsid w:val="00C41FDE"/>
    <w:rsid w:val="00C4206F"/>
    <w:rsid w:val="00C42A53"/>
    <w:rsid w:val="00C42C7E"/>
    <w:rsid w:val="00C44298"/>
    <w:rsid w:val="00C4442B"/>
    <w:rsid w:val="00C44508"/>
    <w:rsid w:val="00C4549E"/>
    <w:rsid w:val="00C45619"/>
    <w:rsid w:val="00C46628"/>
    <w:rsid w:val="00C46EAB"/>
    <w:rsid w:val="00C4776D"/>
    <w:rsid w:val="00C50162"/>
    <w:rsid w:val="00C504E0"/>
    <w:rsid w:val="00C50851"/>
    <w:rsid w:val="00C5279C"/>
    <w:rsid w:val="00C52ED1"/>
    <w:rsid w:val="00C53FD1"/>
    <w:rsid w:val="00C54528"/>
    <w:rsid w:val="00C557A8"/>
    <w:rsid w:val="00C55D27"/>
    <w:rsid w:val="00C5694F"/>
    <w:rsid w:val="00C56BC2"/>
    <w:rsid w:val="00C56CDE"/>
    <w:rsid w:val="00C56E69"/>
    <w:rsid w:val="00C57283"/>
    <w:rsid w:val="00C573D0"/>
    <w:rsid w:val="00C57F2E"/>
    <w:rsid w:val="00C57FD0"/>
    <w:rsid w:val="00C61A0A"/>
    <w:rsid w:val="00C61DA4"/>
    <w:rsid w:val="00C63771"/>
    <w:rsid w:val="00C63A64"/>
    <w:rsid w:val="00C643A7"/>
    <w:rsid w:val="00C64968"/>
    <w:rsid w:val="00C64E8F"/>
    <w:rsid w:val="00C64EAF"/>
    <w:rsid w:val="00C654B8"/>
    <w:rsid w:val="00C65BDE"/>
    <w:rsid w:val="00C66617"/>
    <w:rsid w:val="00C66CD0"/>
    <w:rsid w:val="00C674AA"/>
    <w:rsid w:val="00C70020"/>
    <w:rsid w:val="00C7007C"/>
    <w:rsid w:val="00C70091"/>
    <w:rsid w:val="00C703C1"/>
    <w:rsid w:val="00C70AD2"/>
    <w:rsid w:val="00C70AE2"/>
    <w:rsid w:val="00C70D0D"/>
    <w:rsid w:val="00C70ED9"/>
    <w:rsid w:val="00C71470"/>
    <w:rsid w:val="00C719E7"/>
    <w:rsid w:val="00C71A45"/>
    <w:rsid w:val="00C71CCF"/>
    <w:rsid w:val="00C72E8D"/>
    <w:rsid w:val="00C73092"/>
    <w:rsid w:val="00C75096"/>
    <w:rsid w:val="00C758F0"/>
    <w:rsid w:val="00C80AB9"/>
    <w:rsid w:val="00C80D41"/>
    <w:rsid w:val="00C81168"/>
    <w:rsid w:val="00C815BF"/>
    <w:rsid w:val="00C81B3B"/>
    <w:rsid w:val="00C833DA"/>
    <w:rsid w:val="00C83C09"/>
    <w:rsid w:val="00C84EBC"/>
    <w:rsid w:val="00C85344"/>
    <w:rsid w:val="00C86D45"/>
    <w:rsid w:val="00C86FCD"/>
    <w:rsid w:val="00C87435"/>
    <w:rsid w:val="00C9239C"/>
    <w:rsid w:val="00C938E5"/>
    <w:rsid w:val="00C93E24"/>
    <w:rsid w:val="00C9491A"/>
    <w:rsid w:val="00C963D2"/>
    <w:rsid w:val="00C97112"/>
    <w:rsid w:val="00CA0832"/>
    <w:rsid w:val="00CA154A"/>
    <w:rsid w:val="00CA35D8"/>
    <w:rsid w:val="00CA369D"/>
    <w:rsid w:val="00CA3780"/>
    <w:rsid w:val="00CA4186"/>
    <w:rsid w:val="00CA4A4E"/>
    <w:rsid w:val="00CA4E78"/>
    <w:rsid w:val="00CA56EB"/>
    <w:rsid w:val="00CA78B8"/>
    <w:rsid w:val="00CA7E28"/>
    <w:rsid w:val="00CB17C0"/>
    <w:rsid w:val="00CB3AD4"/>
    <w:rsid w:val="00CB65F0"/>
    <w:rsid w:val="00CB670B"/>
    <w:rsid w:val="00CB703A"/>
    <w:rsid w:val="00CC1ADA"/>
    <w:rsid w:val="00CC1CEF"/>
    <w:rsid w:val="00CC2309"/>
    <w:rsid w:val="00CC2633"/>
    <w:rsid w:val="00CC2B2E"/>
    <w:rsid w:val="00CC2CA8"/>
    <w:rsid w:val="00CC3872"/>
    <w:rsid w:val="00CC402A"/>
    <w:rsid w:val="00CC4739"/>
    <w:rsid w:val="00CC50D4"/>
    <w:rsid w:val="00CC601B"/>
    <w:rsid w:val="00CC6F9F"/>
    <w:rsid w:val="00CC7170"/>
    <w:rsid w:val="00CC7802"/>
    <w:rsid w:val="00CC7AB9"/>
    <w:rsid w:val="00CC7B62"/>
    <w:rsid w:val="00CD0121"/>
    <w:rsid w:val="00CD0293"/>
    <w:rsid w:val="00CD05DC"/>
    <w:rsid w:val="00CD068E"/>
    <w:rsid w:val="00CD072F"/>
    <w:rsid w:val="00CD0F00"/>
    <w:rsid w:val="00CD1173"/>
    <w:rsid w:val="00CD27A9"/>
    <w:rsid w:val="00CD2C8C"/>
    <w:rsid w:val="00CD5AA5"/>
    <w:rsid w:val="00CD6BCA"/>
    <w:rsid w:val="00CD6E58"/>
    <w:rsid w:val="00CE052A"/>
    <w:rsid w:val="00CE08B9"/>
    <w:rsid w:val="00CE12D1"/>
    <w:rsid w:val="00CE1324"/>
    <w:rsid w:val="00CE13CE"/>
    <w:rsid w:val="00CE22B4"/>
    <w:rsid w:val="00CE2802"/>
    <w:rsid w:val="00CE44AD"/>
    <w:rsid w:val="00CE4C39"/>
    <w:rsid w:val="00CE5215"/>
    <w:rsid w:val="00CE57A9"/>
    <w:rsid w:val="00CE6101"/>
    <w:rsid w:val="00CE61A0"/>
    <w:rsid w:val="00CE69B5"/>
    <w:rsid w:val="00CE6D37"/>
    <w:rsid w:val="00CE773A"/>
    <w:rsid w:val="00CE7C1C"/>
    <w:rsid w:val="00CF04B9"/>
    <w:rsid w:val="00CF058E"/>
    <w:rsid w:val="00CF1452"/>
    <w:rsid w:val="00CF223D"/>
    <w:rsid w:val="00CF2E4A"/>
    <w:rsid w:val="00CF300B"/>
    <w:rsid w:val="00CF3076"/>
    <w:rsid w:val="00CF3C26"/>
    <w:rsid w:val="00CF4894"/>
    <w:rsid w:val="00CF4A45"/>
    <w:rsid w:val="00CF4C1A"/>
    <w:rsid w:val="00CF561E"/>
    <w:rsid w:val="00CF6DD3"/>
    <w:rsid w:val="00CF70F1"/>
    <w:rsid w:val="00CF78F8"/>
    <w:rsid w:val="00D005B6"/>
    <w:rsid w:val="00D02407"/>
    <w:rsid w:val="00D054FC"/>
    <w:rsid w:val="00D05729"/>
    <w:rsid w:val="00D057DC"/>
    <w:rsid w:val="00D057F9"/>
    <w:rsid w:val="00D05E15"/>
    <w:rsid w:val="00D05E20"/>
    <w:rsid w:val="00D05EF6"/>
    <w:rsid w:val="00D06F1A"/>
    <w:rsid w:val="00D07E91"/>
    <w:rsid w:val="00D10F54"/>
    <w:rsid w:val="00D1217F"/>
    <w:rsid w:val="00D12366"/>
    <w:rsid w:val="00D12D2E"/>
    <w:rsid w:val="00D130E2"/>
    <w:rsid w:val="00D134FC"/>
    <w:rsid w:val="00D14198"/>
    <w:rsid w:val="00D148C7"/>
    <w:rsid w:val="00D14F15"/>
    <w:rsid w:val="00D155BD"/>
    <w:rsid w:val="00D1582C"/>
    <w:rsid w:val="00D15D3D"/>
    <w:rsid w:val="00D1683C"/>
    <w:rsid w:val="00D17CE4"/>
    <w:rsid w:val="00D17F96"/>
    <w:rsid w:val="00D20511"/>
    <w:rsid w:val="00D20606"/>
    <w:rsid w:val="00D206E5"/>
    <w:rsid w:val="00D20C26"/>
    <w:rsid w:val="00D269F7"/>
    <w:rsid w:val="00D26FB7"/>
    <w:rsid w:val="00D27383"/>
    <w:rsid w:val="00D27588"/>
    <w:rsid w:val="00D32251"/>
    <w:rsid w:val="00D3231A"/>
    <w:rsid w:val="00D3298A"/>
    <w:rsid w:val="00D32CDD"/>
    <w:rsid w:val="00D33ADF"/>
    <w:rsid w:val="00D33F8F"/>
    <w:rsid w:val="00D33FAE"/>
    <w:rsid w:val="00D34B37"/>
    <w:rsid w:val="00D35867"/>
    <w:rsid w:val="00D360DD"/>
    <w:rsid w:val="00D36969"/>
    <w:rsid w:val="00D36A23"/>
    <w:rsid w:val="00D36E6D"/>
    <w:rsid w:val="00D370C0"/>
    <w:rsid w:val="00D37689"/>
    <w:rsid w:val="00D376FD"/>
    <w:rsid w:val="00D37CF6"/>
    <w:rsid w:val="00D40218"/>
    <w:rsid w:val="00D40885"/>
    <w:rsid w:val="00D413A7"/>
    <w:rsid w:val="00D41493"/>
    <w:rsid w:val="00D418B0"/>
    <w:rsid w:val="00D42B4C"/>
    <w:rsid w:val="00D43B06"/>
    <w:rsid w:val="00D44688"/>
    <w:rsid w:val="00D449AD"/>
    <w:rsid w:val="00D44DFE"/>
    <w:rsid w:val="00D450CB"/>
    <w:rsid w:val="00D450D2"/>
    <w:rsid w:val="00D457B4"/>
    <w:rsid w:val="00D47718"/>
    <w:rsid w:val="00D520AA"/>
    <w:rsid w:val="00D52313"/>
    <w:rsid w:val="00D52876"/>
    <w:rsid w:val="00D52FA3"/>
    <w:rsid w:val="00D5363E"/>
    <w:rsid w:val="00D54237"/>
    <w:rsid w:val="00D543E9"/>
    <w:rsid w:val="00D548CF"/>
    <w:rsid w:val="00D54C04"/>
    <w:rsid w:val="00D550C2"/>
    <w:rsid w:val="00D5593B"/>
    <w:rsid w:val="00D567F3"/>
    <w:rsid w:val="00D56B20"/>
    <w:rsid w:val="00D56CF1"/>
    <w:rsid w:val="00D57DB0"/>
    <w:rsid w:val="00D60C6B"/>
    <w:rsid w:val="00D615ED"/>
    <w:rsid w:val="00D62381"/>
    <w:rsid w:val="00D62EC2"/>
    <w:rsid w:val="00D633C0"/>
    <w:rsid w:val="00D63A25"/>
    <w:rsid w:val="00D64246"/>
    <w:rsid w:val="00D6567C"/>
    <w:rsid w:val="00D65AE1"/>
    <w:rsid w:val="00D65C62"/>
    <w:rsid w:val="00D6652D"/>
    <w:rsid w:val="00D66C93"/>
    <w:rsid w:val="00D66D54"/>
    <w:rsid w:val="00D6780F"/>
    <w:rsid w:val="00D67ABE"/>
    <w:rsid w:val="00D70443"/>
    <w:rsid w:val="00D70A5D"/>
    <w:rsid w:val="00D71459"/>
    <w:rsid w:val="00D71B74"/>
    <w:rsid w:val="00D71F3A"/>
    <w:rsid w:val="00D71F87"/>
    <w:rsid w:val="00D7225E"/>
    <w:rsid w:val="00D7295B"/>
    <w:rsid w:val="00D741E0"/>
    <w:rsid w:val="00D74220"/>
    <w:rsid w:val="00D749AA"/>
    <w:rsid w:val="00D74B7B"/>
    <w:rsid w:val="00D74BA4"/>
    <w:rsid w:val="00D75670"/>
    <w:rsid w:val="00D75BDB"/>
    <w:rsid w:val="00D76223"/>
    <w:rsid w:val="00D8144F"/>
    <w:rsid w:val="00D814B6"/>
    <w:rsid w:val="00D8230B"/>
    <w:rsid w:val="00D82768"/>
    <w:rsid w:val="00D8368E"/>
    <w:rsid w:val="00D865F4"/>
    <w:rsid w:val="00D86D71"/>
    <w:rsid w:val="00D90C33"/>
    <w:rsid w:val="00D91269"/>
    <w:rsid w:val="00D913DA"/>
    <w:rsid w:val="00D91E44"/>
    <w:rsid w:val="00D91F2A"/>
    <w:rsid w:val="00D9221E"/>
    <w:rsid w:val="00D922B4"/>
    <w:rsid w:val="00D9260C"/>
    <w:rsid w:val="00D92C4A"/>
    <w:rsid w:val="00D9348B"/>
    <w:rsid w:val="00D952B6"/>
    <w:rsid w:val="00D95F06"/>
    <w:rsid w:val="00D96411"/>
    <w:rsid w:val="00D968D5"/>
    <w:rsid w:val="00D96EF2"/>
    <w:rsid w:val="00D96FA1"/>
    <w:rsid w:val="00D977FA"/>
    <w:rsid w:val="00D97D01"/>
    <w:rsid w:val="00DA0521"/>
    <w:rsid w:val="00DA0537"/>
    <w:rsid w:val="00DA09E9"/>
    <w:rsid w:val="00DA19E4"/>
    <w:rsid w:val="00DA1A3D"/>
    <w:rsid w:val="00DA2E57"/>
    <w:rsid w:val="00DA3850"/>
    <w:rsid w:val="00DA47B1"/>
    <w:rsid w:val="00DA556B"/>
    <w:rsid w:val="00DA5A29"/>
    <w:rsid w:val="00DA6D6D"/>
    <w:rsid w:val="00DA7599"/>
    <w:rsid w:val="00DA78A8"/>
    <w:rsid w:val="00DB0B18"/>
    <w:rsid w:val="00DB0D33"/>
    <w:rsid w:val="00DB0F36"/>
    <w:rsid w:val="00DB1309"/>
    <w:rsid w:val="00DB260F"/>
    <w:rsid w:val="00DB26CB"/>
    <w:rsid w:val="00DB2816"/>
    <w:rsid w:val="00DB2B7E"/>
    <w:rsid w:val="00DB2E4B"/>
    <w:rsid w:val="00DB374D"/>
    <w:rsid w:val="00DB398F"/>
    <w:rsid w:val="00DB3BA6"/>
    <w:rsid w:val="00DB4B3F"/>
    <w:rsid w:val="00DB5166"/>
    <w:rsid w:val="00DB5442"/>
    <w:rsid w:val="00DB64C6"/>
    <w:rsid w:val="00DB6E59"/>
    <w:rsid w:val="00DB7634"/>
    <w:rsid w:val="00DB7653"/>
    <w:rsid w:val="00DB7973"/>
    <w:rsid w:val="00DB7EB2"/>
    <w:rsid w:val="00DC00DA"/>
    <w:rsid w:val="00DC089E"/>
    <w:rsid w:val="00DC0CD9"/>
    <w:rsid w:val="00DC1BA0"/>
    <w:rsid w:val="00DC1F52"/>
    <w:rsid w:val="00DC236F"/>
    <w:rsid w:val="00DC23A4"/>
    <w:rsid w:val="00DC277F"/>
    <w:rsid w:val="00DC3460"/>
    <w:rsid w:val="00DC461E"/>
    <w:rsid w:val="00DC6221"/>
    <w:rsid w:val="00DC6770"/>
    <w:rsid w:val="00DC7F62"/>
    <w:rsid w:val="00DD0061"/>
    <w:rsid w:val="00DD0082"/>
    <w:rsid w:val="00DD0C9A"/>
    <w:rsid w:val="00DD1EC1"/>
    <w:rsid w:val="00DD3CDA"/>
    <w:rsid w:val="00DD3CF5"/>
    <w:rsid w:val="00DD3E17"/>
    <w:rsid w:val="00DD3EBA"/>
    <w:rsid w:val="00DD4A9F"/>
    <w:rsid w:val="00DD4EC7"/>
    <w:rsid w:val="00DD5E0A"/>
    <w:rsid w:val="00DD6D3D"/>
    <w:rsid w:val="00DE10B1"/>
    <w:rsid w:val="00DE22E2"/>
    <w:rsid w:val="00DE44F0"/>
    <w:rsid w:val="00DE49EC"/>
    <w:rsid w:val="00DE4A82"/>
    <w:rsid w:val="00DE4E45"/>
    <w:rsid w:val="00DE5270"/>
    <w:rsid w:val="00DE538A"/>
    <w:rsid w:val="00DE5402"/>
    <w:rsid w:val="00DE6663"/>
    <w:rsid w:val="00DE7C4C"/>
    <w:rsid w:val="00DF05DE"/>
    <w:rsid w:val="00DF15EE"/>
    <w:rsid w:val="00DF19E4"/>
    <w:rsid w:val="00DF1D60"/>
    <w:rsid w:val="00DF3353"/>
    <w:rsid w:val="00DF3F46"/>
    <w:rsid w:val="00DF429C"/>
    <w:rsid w:val="00DF61BF"/>
    <w:rsid w:val="00DF7D1D"/>
    <w:rsid w:val="00E01488"/>
    <w:rsid w:val="00E02007"/>
    <w:rsid w:val="00E02C3B"/>
    <w:rsid w:val="00E04C2A"/>
    <w:rsid w:val="00E050C6"/>
    <w:rsid w:val="00E05B26"/>
    <w:rsid w:val="00E0614E"/>
    <w:rsid w:val="00E06472"/>
    <w:rsid w:val="00E069B1"/>
    <w:rsid w:val="00E073F3"/>
    <w:rsid w:val="00E1006F"/>
    <w:rsid w:val="00E10A1B"/>
    <w:rsid w:val="00E11A20"/>
    <w:rsid w:val="00E11DF5"/>
    <w:rsid w:val="00E1202D"/>
    <w:rsid w:val="00E12503"/>
    <w:rsid w:val="00E1262E"/>
    <w:rsid w:val="00E12D84"/>
    <w:rsid w:val="00E12DBD"/>
    <w:rsid w:val="00E14B3F"/>
    <w:rsid w:val="00E14CE1"/>
    <w:rsid w:val="00E158F3"/>
    <w:rsid w:val="00E16A47"/>
    <w:rsid w:val="00E170D4"/>
    <w:rsid w:val="00E1797B"/>
    <w:rsid w:val="00E2102C"/>
    <w:rsid w:val="00E214F8"/>
    <w:rsid w:val="00E2157E"/>
    <w:rsid w:val="00E2178E"/>
    <w:rsid w:val="00E21A13"/>
    <w:rsid w:val="00E2230D"/>
    <w:rsid w:val="00E2384F"/>
    <w:rsid w:val="00E24030"/>
    <w:rsid w:val="00E2492C"/>
    <w:rsid w:val="00E25129"/>
    <w:rsid w:val="00E25B6A"/>
    <w:rsid w:val="00E273ED"/>
    <w:rsid w:val="00E279C4"/>
    <w:rsid w:val="00E300ED"/>
    <w:rsid w:val="00E3085A"/>
    <w:rsid w:val="00E3098A"/>
    <w:rsid w:val="00E31184"/>
    <w:rsid w:val="00E32114"/>
    <w:rsid w:val="00E33A79"/>
    <w:rsid w:val="00E33F2D"/>
    <w:rsid w:val="00E34135"/>
    <w:rsid w:val="00E34925"/>
    <w:rsid w:val="00E356B8"/>
    <w:rsid w:val="00E36E04"/>
    <w:rsid w:val="00E37102"/>
    <w:rsid w:val="00E371C6"/>
    <w:rsid w:val="00E3737B"/>
    <w:rsid w:val="00E37B4C"/>
    <w:rsid w:val="00E4053B"/>
    <w:rsid w:val="00E4059B"/>
    <w:rsid w:val="00E42068"/>
    <w:rsid w:val="00E42FE7"/>
    <w:rsid w:val="00E43333"/>
    <w:rsid w:val="00E4377E"/>
    <w:rsid w:val="00E43967"/>
    <w:rsid w:val="00E43F34"/>
    <w:rsid w:val="00E44DA1"/>
    <w:rsid w:val="00E44DD2"/>
    <w:rsid w:val="00E4641E"/>
    <w:rsid w:val="00E469C9"/>
    <w:rsid w:val="00E46C54"/>
    <w:rsid w:val="00E46D96"/>
    <w:rsid w:val="00E4733C"/>
    <w:rsid w:val="00E477FF"/>
    <w:rsid w:val="00E51253"/>
    <w:rsid w:val="00E5150B"/>
    <w:rsid w:val="00E51DB8"/>
    <w:rsid w:val="00E52266"/>
    <w:rsid w:val="00E53E1A"/>
    <w:rsid w:val="00E54A44"/>
    <w:rsid w:val="00E54E0E"/>
    <w:rsid w:val="00E55077"/>
    <w:rsid w:val="00E551BD"/>
    <w:rsid w:val="00E552CD"/>
    <w:rsid w:val="00E55898"/>
    <w:rsid w:val="00E55982"/>
    <w:rsid w:val="00E56D24"/>
    <w:rsid w:val="00E56F9F"/>
    <w:rsid w:val="00E570F1"/>
    <w:rsid w:val="00E603C1"/>
    <w:rsid w:val="00E61846"/>
    <w:rsid w:val="00E620AE"/>
    <w:rsid w:val="00E62C83"/>
    <w:rsid w:val="00E65D08"/>
    <w:rsid w:val="00E66B3A"/>
    <w:rsid w:val="00E672A4"/>
    <w:rsid w:val="00E67A7A"/>
    <w:rsid w:val="00E701F6"/>
    <w:rsid w:val="00E708C7"/>
    <w:rsid w:val="00E70DB1"/>
    <w:rsid w:val="00E7189C"/>
    <w:rsid w:val="00E71D74"/>
    <w:rsid w:val="00E73A8E"/>
    <w:rsid w:val="00E74DD0"/>
    <w:rsid w:val="00E7568D"/>
    <w:rsid w:val="00E76209"/>
    <w:rsid w:val="00E76379"/>
    <w:rsid w:val="00E76CCA"/>
    <w:rsid w:val="00E80BC2"/>
    <w:rsid w:val="00E80D0E"/>
    <w:rsid w:val="00E8165F"/>
    <w:rsid w:val="00E81D4D"/>
    <w:rsid w:val="00E81D93"/>
    <w:rsid w:val="00E830CD"/>
    <w:rsid w:val="00E8317C"/>
    <w:rsid w:val="00E8510E"/>
    <w:rsid w:val="00E86004"/>
    <w:rsid w:val="00E86146"/>
    <w:rsid w:val="00E8631C"/>
    <w:rsid w:val="00E87169"/>
    <w:rsid w:val="00E87922"/>
    <w:rsid w:val="00E87BBC"/>
    <w:rsid w:val="00E902DE"/>
    <w:rsid w:val="00E9100E"/>
    <w:rsid w:val="00E91167"/>
    <w:rsid w:val="00E91E02"/>
    <w:rsid w:val="00E91EB8"/>
    <w:rsid w:val="00E92D06"/>
    <w:rsid w:val="00E93340"/>
    <w:rsid w:val="00E94490"/>
    <w:rsid w:val="00E9555F"/>
    <w:rsid w:val="00E95906"/>
    <w:rsid w:val="00E96A8C"/>
    <w:rsid w:val="00E96F19"/>
    <w:rsid w:val="00E96F77"/>
    <w:rsid w:val="00EA0E63"/>
    <w:rsid w:val="00EA105E"/>
    <w:rsid w:val="00EA18F6"/>
    <w:rsid w:val="00EA2753"/>
    <w:rsid w:val="00EA2FD3"/>
    <w:rsid w:val="00EA3887"/>
    <w:rsid w:val="00EA38D6"/>
    <w:rsid w:val="00EA3A75"/>
    <w:rsid w:val="00EA4459"/>
    <w:rsid w:val="00EA5BC0"/>
    <w:rsid w:val="00EA6C4E"/>
    <w:rsid w:val="00EA7BB5"/>
    <w:rsid w:val="00EB0751"/>
    <w:rsid w:val="00EB0FAE"/>
    <w:rsid w:val="00EB210E"/>
    <w:rsid w:val="00EB3117"/>
    <w:rsid w:val="00EB4328"/>
    <w:rsid w:val="00EB453B"/>
    <w:rsid w:val="00EB4AF7"/>
    <w:rsid w:val="00EB5576"/>
    <w:rsid w:val="00EB6446"/>
    <w:rsid w:val="00EC0882"/>
    <w:rsid w:val="00EC2255"/>
    <w:rsid w:val="00EC245D"/>
    <w:rsid w:val="00EC386B"/>
    <w:rsid w:val="00EC3EC5"/>
    <w:rsid w:val="00EC4A3B"/>
    <w:rsid w:val="00EC4A9D"/>
    <w:rsid w:val="00EC59B5"/>
    <w:rsid w:val="00EC5DC2"/>
    <w:rsid w:val="00EC64BC"/>
    <w:rsid w:val="00EC6DB7"/>
    <w:rsid w:val="00EC7233"/>
    <w:rsid w:val="00EC753E"/>
    <w:rsid w:val="00EC7DA4"/>
    <w:rsid w:val="00ED017B"/>
    <w:rsid w:val="00ED0D0D"/>
    <w:rsid w:val="00ED0DF3"/>
    <w:rsid w:val="00ED0E16"/>
    <w:rsid w:val="00ED1B78"/>
    <w:rsid w:val="00ED1CCE"/>
    <w:rsid w:val="00ED2468"/>
    <w:rsid w:val="00ED250E"/>
    <w:rsid w:val="00ED3097"/>
    <w:rsid w:val="00ED33BF"/>
    <w:rsid w:val="00ED3C00"/>
    <w:rsid w:val="00ED3DA1"/>
    <w:rsid w:val="00ED537C"/>
    <w:rsid w:val="00ED55EF"/>
    <w:rsid w:val="00ED57CB"/>
    <w:rsid w:val="00ED6196"/>
    <w:rsid w:val="00ED6B7C"/>
    <w:rsid w:val="00ED6FB3"/>
    <w:rsid w:val="00EE0027"/>
    <w:rsid w:val="00EE0831"/>
    <w:rsid w:val="00EE087F"/>
    <w:rsid w:val="00EE0E4F"/>
    <w:rsid w:val="00EE0FEC"/>
    <w:rsid w:val="00EE1FF7"/>
    <w:rsid w:val="00EE4227"/>
    <w:rsid w:val="00EE4576"/>
    <w:rsid w:val="00EE459C"/>
    <w:rsid w:val="00EE4D4D"/>
    <w:rsid w:val="00EE57C9"/>
    <w:rsid w:val="00EE7CE9"/>
    <w:rsid w:val="00EF206B"/>
    <w:rsid w:val="00EF2255"/>
    <w:rsid w:val="00EF243E"/>
    <w:rsid w:val="00EF2525"/>
    <w:rsid w:val="00EF326F"/>
    <w:rsid w:val="00EF33E0"/>
    <w:rsid w:val="00EF3732"/>
    <w:rsid w:val="00EF3B09"/>
    <w:rsid w:val="00EF4065"/>
    <w:rsid w:val="00EF44C6"/>
    <w:rsid w:val="00EF49A8"/>
    <w:rsid w:val="00EF5B97"/>
    <w:rsid w:val="00EF6515"/>
    <w:rsid w:val="00F00203"/>
    <w:rsid w:val="00F01917"/>
    <w:rsid w:val="00F01B10"/>
    <w:rsid w:val="00F025E2"/>
    <w:rsid w:val="00F027FE"/>
    <w:rsid w:val="00F032D2"/>
    <w:rsid w:val="00F05A77"/>
    <w:rsid w:val="00F05D8C"/>
    <w:rsid w:val="00F06561"/>
    <w:rsid w:val="00F066E8"/>
    <w:rsid w:val="00F06A6A"/>
    <w:rsid w:val="00F06DC4"/>
    <w:rsid w:val="00F06EE4"/>
    <w:rsid w:val="00F0779F"/>
    <w:rsid w:val="00F07A34"/>
    <w:rsid w:val="00F10A0C"/>
    <w:rsid w:val="00F10C52"/>
    <w:rsid w:val="00F116B8"/>
    <w:rsid w:val="00F124B4"/>
    <w:rsid w:val="00F13454"/>
    <w:rsid w:val="00F143E6"/>
    <w:rsid w:val="00F14858"/>
    <w:rsid w:val="00F14AB8"/>
    <w:rsid w:val="00F14E2D"/>
    <w:rsid w:val="00F154CE"/>
    <w:rsid w:val="00F15E4D"/>
    <w:rsid w:val="00F162CC"/>
    <w:rsid w:val="00F16982"/>
    <w:rsid w:val="00F169D4"/>
    <w:rsid w:val="00F17833"/>
    <w:rsid w:val="00F207C8"/>
    <w:rsid w:val="00F20DFE"/>
    <w:rsid w:val="00F2123F"/>
    <w:rsid w:val="00F21F44"/>
    <w:rsid w:val="00F21FE7"/>
    <w:rsid w:val="00F21FFC"/>
    <w:rsid w:val="00F224E4"/>
    <w:rsid w:val="00F22773"/>
    <w:rsid w:val="00F229C4"/>
    <w:rsid w:val="00F22F15"/>
    <w:rsid w:val="00F22F24"/>
    <w:rsid w:val="00F23035"/>
    <w:rsid w:val="00F23948"/>
    <w:rsid w:val="00F23ABB"/>
    <w:rsid w:val="00F23C67"/>
    <w:rsid w:val="00F23DE3"/>
    <w:rsid w:val="00F248C1"/>
    <w:rsid w:val="00F258E5"/>
    <w:rsid w:val="00F25A47"/>
    <w:rsid w:val="00F25C07"/>
    <w:rsid w:val="00F272EA"/>
    <w:rsid w:val="00F275CC"/>
    <w:rsid w:val="00F3005F"/>
    <w:rsid w:val="00F30766"/>
    <w:rsid w:val="00F3089F"/>
    <w:rsid w:val="00F30E05"/>
    <w:rsid w:val="00F31E0E"/>
    <w:rsid w:val="00F32311"/>
    <w:rsid w:val="00F33A1F"/>
    <w:rsid w:val="00F33A9E"/>
    <w:rsid w:val="00F33BDF"/>
    <w:rsid w:val="00F344D6"/>
    <w:rsid w:val="00F356D0"/>
    <w:rsid w:val="00F3576F"/>
    <w:rsid w:val="00F35BD5"/>
    <w:rsid w:val="00F36214"/>
    <w:rsid w:val="00F3634C"/>
    <w:rsid w:val="00F3673A"/>
    <w:rsid w:val="00F36939"/>
    <w:rsid w:val="00F40ADB"/>
    <w:rsid w:val="00F41402"/>
    <w:rsid w:val="00F415F4"/>
    <w:rsid w:val="00F4278F"/>
    <w:rsid w:val="00F430AE"/>
    <w:rsid w:val="00F432EB"/>
    <w:rsid w:val="00F43A70"/>
    <w:rsid w:val="00F45062"/>
    <w:rsid w:val="00F454BE"/>
    <w:rsid w:val="00F454D4"/>
    <w:rsid w:val="00F4619C"/>
    <w:rsid w:val="00F46CB1"/>
    <w:rsid w:val="00F47767"/>
    <w:rsid w:val="00F50AC9"/>
    <w:rsid w:val="00F51242"/>
    <w:rsid w:val="00F51A28"/>
    <w:rsid w:val="00F52169"/>
    <w:rsid w:val="00F525DB"/>
    <w:rsid w:val="00F52791"/>
    <w:rsid w:val="00F52974"/>
    <w:rsid w:val="00F537F0"/>
    <w:rsid w:val="00F55CE2"/>
    <w:rsid w:val="00F55E4C"/>
    <w:rsid w:val="00F562BB"/>
    <w:rsid w:val="00F56A1A"/>
    <w:rsid w:val="00F56CE6"/>
    <w:rsid w:val="00F57D35"/>
    <w:rsid w:val="00F604A1"/>
    <w:rsid w:val="00F60ADF"/>
    <w:rsid w:val="00F613D5"/>
    <w:rsid w:val="00F61879"/>
    <w:rsid w:val="00F61B71"/>
    <w:rsid w:val="00F620A3"/>
    <w:rsid w:val="00F622B8"/>
    <w:rsid w:val="00F62C8E"/>
    <w:rsid w:val="00F63A1E"/>
    <w:rsid w:val="00F646CC"/>
    <w:rsid w:val="00F646E3"/>
    <w:rsid w:val="00F64780"/>
    <w:rsid w:val="00F64C37"/>
    <w:rsid w:val="00F6797E"/>
    <w:rsid w:val="00F70175"/>
    <w:rsid w:val="00F70F0A"/>
    <w:rsid w:val="00F71EA3"/>
    <w:rsid w:val="00F72157"/>
    <w:rsid w:val="00F7231D"/>
    <w:rsid w:val="00F7234B"/>
    <w:rsid w:val="00F7236E"/>
    <w:rsid w:val="00F729A1"/>
    <w:rsid w:val="00F72AF5"/>
    <w:rsid w:val="00F744D4"/>
    <w:rsid w:val="00F7451A"/>
    <w:rsid w:val="00F74D10"/>
    <w:rsid w:val="00F75423"/>
    <w:rsid w:val="00F758CC"/>
    <w:rsid w:val="00F75BDD"/>
    <w:rsid w:val="00F766F5"/>
    <w:rsid w:val="00F76F24"/>
    <w:rsid w:val="00F77018"/>
    <w:rsid w:val="00F803D1"/>
    <w:rsid w:val="00F804C9"/>
    <w:rsid w:val="00F808B3"/>
    <w:rsid w:val="00F81BFC"/>
    <w:rsid w:val="00F85253"/>
    <w:rsid w:val="00F85B35"/>
    <w:rsid w:val="00F86246"/>
    <w:rsid w:val="00F87814"/>
    <w:rsid w:val="00F87B2F"/>
    <w:rsid w:val="00F90EE9"/>
    <w:rsid w:val="00F927AA"/>
    <w:rsid w:val="00F9354B"/>
    <w:rsid w:val="00F948FE"/>
    <w:rsid w:val="00F959A5"/>
    <w:rsid w:val="00F95D60"/>
    <w:rsid w:val="00F9636D"/>
    <w:rsid w:val="00F97C5E"/>
    <w:rsid w:val="00FA09EC"/>
    <w:rsid w:val="00FA0DA9"/>
    <w:rsid w:val="00FA1A15"/>
    <w:rsid w:val="00FA222E"/>
    <w:rsid w:val="00FA24B7"/>
    <w:rsid w:val="00FA3726"/>
    <w:rsid w:val="00FA380F"/>
    <w:rsid w:val="00FA3BB0"/>
    <w:rsid w:val="00FA47E1"/>
    <w:rsid w:val="00FA5300"/>
    <w:rsid w:val="00FA5A5E"/>
    <w:rsid w:val="00FA5D5A"/>
    <w:rsid w:val="00FA6174"/>
    <w:rsid w:val="00FA66E7"/>
    <w:rsid w:val="00FA683B"/>
    <w:rsid w:val="00FA6C8D"/>
    <w:rsid w:val="00FA7222"/>
    <w:rsid w:val="00FA7E9F"/>
    <w:rsid w:val="00FA7F94"/>
    <w:rsid w:val="00FB028D"/>
    <w:rsid w:val="00FB0706"/>
    <w:rsid w:val="00FB12D6"/>
    <w:rsid w:val="00FB1B39"/>
    <w:rsid w:val="00FB458B"/>
    <w:rsid w:val="00FB4C71"/>
    <w:rsid w:val="00FB5876"/>
    <w:rsid w:val="00FB5E2F"/>
    <w:rsid w:val="00FB740F"/>
    <w:rsid w:val="00FB76BC"/>
    <w:rsid w:val="00FC15FD"/>
    <w:rsid w:val="00FC1607"/>
    <w:rsid w:val="00FC1EF1"/>
    <w:rsid w:val="00FC2417"/>
    <w:rsid w:val="00FC2488"/>
    <w:rsid w:val="00FC26FD"/>
    <w:rsid w:val="00FC2D8D"/>
    <w:rsid w:val="00FC3B37"/>
    <w:rsid w:val="00FC5DE9"/>
    <w:rsid w:val="00FC6B0D"/>
    <w:rsid w:val="00FC76D0"/>
    <w:rsid w:val="00FC7D08"/>
    <w:rsid w:val="00FC7EFB"/>
    <w:rsid w:val="00FD092A"/>
    <w:rsid w:val="00FD2DCF"/>
    <w:rsid w:val="00FD3A69"/>
    <w:rsid w:val="00FD45FD"/>
    <w:rsid w:val="00FD4BC7"/>
    <w:rsid w:val="00FD55C5"/>
    <w:rsid w:val="00FD5DC2"/>
    <w:rsid w:val="00FD5F22"/>
    <w:rsid w:val="00FD6191"/>
    <w:rsid w:val="00FD6285"/>
    <w:rsid w:val="00FD67EE"/>
    <w:rsid w:val="00FD7437"/>
    <w:rsid w:val="00FD7E07"/>
    <w:rsid w:val="00FE1CF4"/>
    <w:rsid w:val="00FE2540"/>
    <w:rsid w:val="00FE2BD5"/>
    <w:rsid w:val="00FE4562"/>
    <w:rsid w:val="00FE4C56"/>
    <w:rsid w:val="00FE4DF9"/>
    <w:rsid w:val="00FE5715"/>
    <w:rsid w:val="00FE76D7"/>
    <w:rsid w:val="00FF08E0"/>
    <w:rsid w:val="00FF2B0C"/>
    <w:rsid w:val="00FF3A39"/>
    <w:rsid w:val="00FF3AA7"/>
    <w:rsid w:val="00FF3F35"/>
    <w:rsid w:val="00FF41C1"/>
    <w:rsid w:val="00FF4797"/>
    <w:rsid w:val="00FF68CC"/>
    <w:rsid w:val="00FF6F54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  <w:style w:type="paragraph" w:customStyle="1" w:styleId="ConsPlusNormal">
    <w:name w:val="ConsPlusNormal"/>
    <w:rsid w:val="00F23A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7D719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7D7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8A5F6F"/>
    <w:pPr>
      <w:spacing w:before="100" w:beforeAutospacing="1" w:after="100" w:afterAutospacing="1"/>
    </w:pPr>
  </w:style>
  <w:style w:type="character" w:customStyle="1" w:styleId="b-articleintro">
    <w:name w:val="b-article__intro"/>
    <w:basedOn w:val="a0"/>
    <w:rsid w:val="008A5F6F"/>
  </w:style>
  <w:style w:type="paragraph" w:customStyle="1" w:styleId="b-articletextdocumentauthors">
    <w:name w:val="b-article__text document_authors"/>
    <w:basedOn w:val="a"/>
    <w:rsid w:val="008A5F6F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7"/>
    <w:uiPriority w:val="59"/>
    <w:rsid w:val="0003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6C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FB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C12E6"/>
  </w:style>
  <w:style w:type="numbering" w:customStyle="1" w:styleId="110">
    <w:name w:val="Нет списка11"/>
    <w:next w:val="a2"/>
    <w:uiPriority w:val="99"/>
    <w:semiHidden/>
    <w:unhideWhenUsed/>
    <w:rsid w:val="007C12E6"/>
  </w:style>
  <w:style w:type="table" w:customStyle="1" w:styleId="5">
    <w:name w:val="Сетка таблицы5"/>
    <w:basedOn w:val="a1"/>
    <w:next w:val="a7"/>
    <w:uiPriority w:val="59"/>
    <w:rsid w:val="007C1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B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1FAB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801F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01FA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B074E"/>
    <w:pPr>
      <w:ind w:left="720"/>
      <w:contextualSpacing/>
    </w:pPr>
  </w:style>
  <w:style w:type="paragraph" w:customStyle="1" w:styleId="Default">
    <w:name w:val="Default"/>
    <w:rsid w:val="00333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1"/>
    <w:uiPriority w:val="99"/>
    <w:rsid w:val="00EA2753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uiPriority w:val="99"/>
    <w:semiHidden/>
    <w:rsid w:val="00EA2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EA2753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2-1">
    <w:name w:val="Medium Shading 2 Accent 1"/>
    <w:basedOn w:val="a1"/>
    <w:uiPriority w:val="64"/>
    <w:rsid w:val="00EA27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7">
    <w:name w:val="Table Grid"/>
    <w:basedOn w:val="a1"/>
    <w:uiPriority w:val="59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FD4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FD4BC7"/>
  </w:style>
  <w:style w:type="paragraph" w:customStyle="1" w:styleId="ConsPlusNonformat">
    <w:name w:val="ConsPlusNonformat"/>
    <w:rsid w:val="00FD4B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rsid w:val="00FD4BC7"/>
    <w:pPr>
      <w:spacing w:after="75"/>
    </w:pPr>
    <w:rPr>
      <w:rFonts w:ascii="Verdana" w:hAnsi="Verdana"/>
      <w:color w:val="000000"/>
      <w:sz w:val="18"/>
      <w:szCs w:val="18"/>
    </w:rPr>
  </w:style>
  <w:style w:type="paragraph" w:styleId="ac">
    <w:name w:val="header"/>
    <w:basedOn w:val="a"/>
    <w:link w:val="ad"/>
    <w:rsid w:val="00FD4B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D4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(лев)"/>
    <w:rsid w:val="00FD4BC7"/>
    <w:pPr>
      <w:spacing w:before="60"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table" w:customStyle="1" w:styleId="11">
    <w:name w:val="Сетка таблицы1"/>
    <w:basedOn w:val="a1"/>
    <w:next w:val="a7"/>
    <w:rsid w:val="00FD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FD4BC7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3B614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B6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B5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1">
    <w:name w:val="No Spacing"/>
    <w:uiPriority w:val="1"/>
    <w:qFormat/>
    <w:rsid w:val="000A2B5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Subtitle"/>
    <w:basedOn w:val="a"/>
    <w:next w:val="a"/>
    <w:link w:val="af3"/>
    <w:qFormat/>
    <w:rsid w:val="000A2B54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rsid w:val="000A2B54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caption"/>
    <w:basedOn w:val="a"/>
    <w:next w:val="a"/>
    <w:unhideWhenUsed/>
    <w:qFormat/>
    <w:rsid w:val="000A2B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D7484EA75B0DB2EA7720A5E2C985B4A9D4FDB72E3FFF23F8129C7A8FF17577E9CA8EF46DEB7FS0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AA380BC109DE192B789756B9453964AA3647DE0755CA101F7862C3D2378F16C18E95AA44D5D94Ec009O" TargetMode="External"/><Relationship Id="rId10" Type="http://schemas.openxmlformats.org/officeDocument/2006/relationships/hyperlink" Target="consultantplus://offline/ref=E1D7484EA75B0DB2EA7720A5E2C985B4A9D4FDB72E3FFF23F8129C7A8FF17577E9CA8EF46DEB7FS3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4D92D7E8406E96AA0F631C105D0A21CCB8372482B3F1C6CCCF1E74B7EB095DBCz7yDN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1"/>
          <c:order val="0"/>
          <c:tx>
            <c:strRef>
              <c:f>Лист1!$A$3</c:f>
              <c:strCache>
                <c:ptCount val="1"/>
                <c:pt idx="0">
                  <c:v>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Лист1!$B$3:$G$3</c:f>
              <c:numCache>
                <c:formatCode>General</c:formatCode>
                <c:ptCount val="6"/>
                <c:pt idx="0">
                  <c:v>3470.7</c:v>
                </c:pt>
                <c:pt idx="1">
                  <c:v>3490.25</c:v>
                </c:pt>
                <c:pt idx="2">
                  <c:v>3720.83</c:v>
                </c:pt>
                <c:pt idx="3">
                  <c:v>3910.79</c:v>
                </c:pt>
                <c:pt idx="4">
                  <c:v>4019.14</c:v>
                </c:pt>
                <c:pt idx="5">
                  <c:v>4148.58</c:v>
                </c:pt>
              </c:numCache>
            </c:numRef>
          </c:val>
        </c:ser>
        <c:ser>
          <c:idx val="2"/>
          <c:order val="1"/>
          <c:tx>
            <c:strRef>
              <c:f>Лист1!$A$4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cat>
            <c:numRef>
              <c:f>Лист1!$B$2:$G$2</c:f>
              <c:numCache>
                <c:formatCode>General</c:formatCod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numCache>
            </c:numRef>
          </c:cat>
          <c:val>
            <c:numRef>
              <c:f>Лист1!$B$4:$G$4</c:f>
              <c:numCache>
                <c:formatCode>General</c:formatCode>
                <c:ptCount val="6"/>
                <c:pt idx="0">
                  <c:v>905.61</c:v>
                </c:pt>
                <c:pt idx="1">
                  <c:v>785.81</c:v>
                </c:pt>
                <c:pt idx="2">
                  <c:v>646.97</c:v>
                </c:pt>
                <c:pt idx="3">
                  <c:v>623.41</c:v>
                </c:pt>
                <c:pt idx="4">
                  <c:v>611.42999999999995</c:v>
                </c:pt>
                <c:pt idx="5">
                  <c:v>588.29999999999995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3512704"/>
        <c:axId val="104232064"/>
      </c:barChart>
      <c:catAx>
        <c:axId val="103512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04232064"/>
        <c:crosses val="autoZero"/>
        <c:auto val="1"/>
        <c:lblAlgn val="ctr"/>
        <c:lblOffset val="100"/>
        <c:noMultiLvlLbl val="0"/>
      </c:catAx>
      <c:valAx>
        <c:axId val="104232064"/>
        <c:scaling>
          <c:orientation val="minMax"/>
          <c:max val="5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512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63383464566929137"/>
          <c:h val="0.89814814814814814"/>
        </c:manualLayout>
      </c:layout>
      <c:pie3DChart>
        <c:varyColors val="1"/>
        <c:ser>
          <c:idx val="1"/>
          <c:order val="0"/>
          <c:dPt>
            <c:idx val="0"/>
            <c:bubble3D val="0"/>
            <c:explosion val="27"/>
          </c:dPt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5553368328958879E-3"/>
                  <c:y val="3.765817508105604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4573928258967654E-2"/>
                  <c:y val="4.2674077505017757E-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2477252843394576E-2"/>
                  <c:y val="7.202099737532807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1.4871609798775153E-2"/>
                  <c:y val="5.472904122278832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Лист1!$L$2:$L$9</c:f>
              <c:strCache>
                <c:ptCount val="8"/>
                <c:pt idx="0">
                  <c:v>НДФЛ</c:v>
                </c:pt>
                <c:pt idx="1">
                  <c:v>Акцизы</c:v>
                </c:pt>
                <c:pt idx="2">
                  <c:v>ЕНВД</c:v>
                </c:pt>
                <c:pt idx="3">
                  <c:v>Сельхозналог</c:v>
                </c:pt>
                <c:pt idx="4">
                  <c:v>Доходы от патентов</c:v>
                </c:pt>
                <c:pt idx="5">
                  <c:v>Налог на имущество физлиц</c:v>
                </c:pt>
                <c:pt idx="6">
                  <c:v>Земельный налог</c:v>
                </c:pt>
                <c:pt idx="7">
                  <c:v>Пошлины</c:v>
                </c:pt>
              </c:strCache>
            </c:strRef>
          </c:cat>
          <c:val>
            <c:numRef>
              <c:f>Лист1!$N$2:$N$9</c:f>
              <c:numCache>
                <c:formatCode>General</c:formatCode>
                <c:ptCount val="8"/>
                <c:pt idx="0">
                  <c:v>3101.38</c:v>
                </c:pt>
                <c:pt idx="1">
                  <c:v>14.64</c:v>
                </c:pt>
                <c:pt idx="2">
                  <c:v>371.6</c:v>
                </c:pt>
                <c:pt idx="3">
                  <c:v>79.400000000000006</c:v>
                </c:pt>
                <c:pt idx="4">
                  <c:v>21</c:v>
                </c:pt>
                <c:pt idx="5">
                  <c:v>87</c:v>
                </c:pt>
                <c:pt idx="6">
                  <c:v>150</c:v>
                </c:pt>
                <c:pt idx="7">
                  <c:v>85.77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272353455818019"/>
          <c:y val="2.5474628171478567E-2"/>
          <c:w val="0.37449868766404204"/>
          <c:h val="0.9745253718285213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Удельный</a:t>
            </a:r>
            <a:r>
              <a:rPr lang="ru-RU" sz="1200" b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вес м</a:t>
            </a: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униципальных программ в общем объеме программных мероприятий на 2018 год, %</a:t>
            </a:r>
          </a:p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программы (проект 2018 год), млн. руб.</c:v>
                </c:pt>
              </c:strCache>
            </c:strRef>
          </c:tx>
          <c:dLbls>
            <c:numFmt formatCode="0.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Муниципальная программа "Развитие социальной сферы муниципального образования "Город Архангельск" 64,3%</c:v>
                </c:pt>
                <c:pt idx="1">
                  <c:v>Муниципальная программа "Комплексное развитие территории муниципального образования "Город Архангельск" 18,3%</c:v>
                </c:pt>
                <c:pt idx="2">
                  <c:v>Муниципальная программа "Совершенствование муниципального управления муниципального образования "Город Архангельск"  12,2%</c:v>
                </c:pt>
                <c:pt idx="3">
                  <c:v>Муниципальная программа "Развитие города Архангельска как административного центра Архангельской области"  5%</c:v>
                </c:pt>
                <c:pt idx="4">
                  <c:v>Муниципальная программа "Формирование современной городской среды на территории муниципального образования "Город Архангельск"  0,2%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5244.1</c:v>
                </c:pt>
                <c:pt idx="1">
                  <c:v>1493.7</c:v>
                </c:pt>
                <c:pt idx="2">
                  <c:v>991</c:v>
                </c:pt>
                <c:pt idx="3">
                  <c:v>406.7</c:v>
                </c:pt>
                <c:pt idx="4">
                  <c:v>15.7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929216247072246"/>
          <c:y val="0.13163725464640408"/>
          <c:w val="0.40789553772146192"/>
          <c:h val="0.83777485152239928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бюджетных ассигнований на программные мероприятия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2017 факт</c:v>
                </c:pt>
                <c:pt idx="1">
                  <c:v>2018 проект</c:v>
                </c:pt>
                <c:pt idx="2">
                  <c:v>2019 проект</c:v>
                </c:pt>
                <c:pt idx="3">
                  <c:v>2020 проект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7763.7</c:v>
                </c:pt>
                <c:pt idx="1">
                  <c:v>8150</c:v>
                </c:pt>
                <c:pt idx="2">
                  <c:v>8065.9</c:v>
                </c:pt>
                <c:pt idx="3">
                  <c:v>8016.4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42464"/>
        <c:axId val="134444160"/>
      </c:barChart>
      <c:catAx>
        <c:axId val="13094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444160"/>
        <c:crosses val="autoZero"/>
        <c:auto val="1"/>
        <c:lblAlgn val="ctr"/>
        <c:lblOffset val="100"/>
        <c:noMultiLvlLbl val="0"/>
      </c:catAx>
      <c:valAx>
        <c:axId val="13444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942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010168762262766"/>
          <c:y val="0.41125064574342152"/>
          <c:w val="0.33719048647458727"/>
          <c:h val="0.2657594985092882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F3C6-D599-4398-858B-B9DEDE4B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33</Pages>
  <Words>15555</Words>
  <Characters>88665</Characters>
  <Application>Microsoft Office Word</Application>
  <DocSecurity>0</DocSecurity>
  <Lines>738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1280</cp:revision>
  <cp:lastPrinted>2017-11-20T13:35:00Z</cp:lastPrinted>
  <dcterms:created xsi:type="dcterms:W3CDTF">2016-11-24T22:03:00Z</dcterms:created>
  <dcterms:modified xsi:type="dcterms:W3CDTF">2018-01-30T15:06:00Z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