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8E" w:rsidRDefault="004E7627" w:rsidP="004E7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E7627">
        <w:rPr>
          <w:rFonts w:ascii="Times New Roman" w:hAnsi="Times New Roman" w:cs="Times New Roman"/>
          <w:b/>
          <w:color w:val="212121"/>
          <w:sz w:val="25"/>
          <w:szCs w:val="25"/>
        </w:rPr>
        <w:t>И</w:t>
      </w:r>
      <w:r w:rsidRPr="004E7627">
        <w:rPr>
          <w:rFonts w:ascii="Times New Roman" w:hAnsi="Times New Roman" w:cs="Times New Roman"/>
          <w:b/>
          <w:sz w:val="25"/>
          <w:szCs w:val="25"/>
        </w:rPr>
        <w:t xml:space="preserve">нформация о ходе исполнения бюджета городского округа </w:t>
      </w:r>
    </w:p>
    <w:p w:rsidR="004E7627" w:rsidRPr="004E7627" w:rsidRDefault="004E7627" w:rsidP="004E76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E7627">
        <w:rPr>
          <w:rFonts w:ascii="Times New Roman" w:hAnsi="Times New Roman" w:cs="Times New Roman"/>
          <w:b/>
          <w:sz w:val="25"/>
          <w:szCs w:val="25"/>
        </w:rPr>
        <w:t xml:space="preserve">«Город Архангельск» за </w:t>
      </w:r>
      <w:r w:rsidRPr="004E7627">
        <w:rPr>
          <w:rFonts w:ascii="Times New Roman" w:hAnsi="Times New Roman" w:cs="Times New Roman"/>
          <w:b/>
          <w:sz w:val="25"/>
          <w:szCs w:val="25"/>
          <w:lang w:val="en-US"/>
        </w:rPr>
        <w:t>I</w:t>
      </w:r>
      <w:r w:rsidRPr="004E7627">
        <w:rPr>
          <w:rFonts w:ascii="Times New Roman" w:hAnsi="Times New Roman" w:cs="Times New Roman"/>
          <w:b/>
          <w:sz w:val="25"/>
          <w:szCs w:val="25"/>
        </w:rPr>
        <w:t xml:space="preserve"> квартал 2022 года</w:t>
      </w:r>
    </w:p>
    <w:p w:rsidR="004E7627" w:rsidRPr="004E7627" w:rsidRDefault="004E7627" w:rsidP="004E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4E7627" w:rsidRPr="004E7627" w:rsidRDefault="004E7627" w:rsidP="004E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E7627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4E7627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4E7627">
        <w:rPr>
          <w:rFonts w:ascii="Times New Roman" w:hAnsi="Times New Roman" w:cs="Times New Roman"/>
          <w:sz w:val="25"/>
          <w:szCs w:val="25"/>
        </w:rPr>
        <w:t xml:space="preserve"> с бюджетным законодательством на отчет об исполнении бюджета за </w:t>
      </w:r>
      <w:r w:rsidRPr="004E7627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E7627">
        <w:rPr>
          <w:rFonts w:ascii="Times New Roman" w:hAnsi="Times New Roman" w:cs="Times New Roman"/>
          <w:sz w:val="25"/>
          <w:szCs w:val="25"/>
        </w:rPr>
        <w:t xml:space="preserve"> квартал 2022 года, утвержденный </w:t>
      </w:r>
      <w:r w:rsidRPr="004E76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постановлением Администрации городского округа «Город Архангельск» от 25.04.2022 № 776, подготовлена </w:t>
      </w:r>
      <w:r w:rsidRPr="004E7627">
        <w:rPr>
          <w:rFonts w:ascii="Times New Roman" w:hAnsi="Times New Roman" w:cs="Times New Roman"/>
          <w:sz w:val="25"/>
          <w:szCs w:val="25"/>
        </w:rPr>
        <w:t xml:space="preserve">и </w:t>
      </w:r>
      <w:r w:rsidRPr="004E7627">
        <w:rPr>
          <w:rFonts w:ascii="Times New Roman" w:hAnsi="Times New Roman" w:cs="Times New Roman"/>
          <w:color w:val="212121"/>
          <w:sz w:val="25"/>
          <w:szCs w:val="25"/>
        </w:rPr>
        <w:t>направлена в Архангельскую городскую Думу и Главе города и</w:t>
      </w:r>
      <w:r w:rsidRPr="004E7627">
        <w:rPr>
          <w:rFonts w:ascii="Times New Roman" w:hAnsi="Times New Roman" w:cs="Times New Roman"/>
          <w:sz w:val="25"/>
          <w:szCs w:val="25"/>
        </w:rPr>
        <w:t xml:space="preserve">нформация о ходе исполнения бюджета городского округа «Город Архангельск» за </w:t>
      </w:r>
      <w:r w:rsidRPr="004E7627">
        <w:rPr>
          <w:rFonts w:ascii="Times New Roman" w:hAnsi="Times New Roman" w:cs="Times New Roman"/>
          <w:sz w:val="25"/>
          <w:szCs w:val="25"/>
          <w:lang w:val="en-US"/>
        </w:rPr>
        <w:t>I</w:t>
      </w:r>
      <w:r w:rsidRPr="004E7627">
        <w:rPr>
          <w:rFonts w:ascii="Times New Roman" w:hAnsi="Times New Roman" w:cs="Times New Roman"/>
          <w:sz w:val="25"/>
          <w:szCs w:val="25"/>
        </w:rPr>
        <w:t xml:space="preserve"> квартал 2022 года.</w:t>
      </w:r>
      <w:bookmarkStart w:id="0" w:name="_GoBack"/>
      <w:bookmarkEnd w:id="0"/>
      <w:proofErr w:type="gramEnd"/>
    </w:p>
    <w:p w:rsidR="004E7627" w:rsidRPr="004E7627" w:rsidRDefault="004E7627" w:rsidP="004E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E7627">
        <w:rPr>
          <w:rFonts w:ascii="Times New Roman" w:hAnsi="Times New Roman" w:cs="Times New Roman"/>
          <w:sz w:val="25"/>
          <w:szCs w:val="25"/>
        </w:rPr>
        <w:t>В отчетном периоде первоначально утвержденные параметры бюджета уточнены решениями Архангельской городской Думы от 09.02.2022 № 510 и от 16.03.2022 № 519 «О внесении изменений в решение Архангельской городской Думы от 16.12.2021 № 494 «О городском бюджете на 2022 год и на плановый период 2023 и 2024 годов» и решениями руководителя финансового органа на основании ст. 217 Бюджетного кодекса РФ о внесении изменений в</w:t>
      </w:r>
      <w:proofErr w:type="gramEnd"/>
      <w:r w:rsidRPr="004E7627">
        <w:rPr>
          <w:rFonts w:ascii="Times New Roman" w:hAnsi="Times New Roman" w:cs="Times New Roman"/>
          <w:sz w:val="25"/>
          <w:szCs w:val="25"/>
        </w:rPr>
        <w:t xml:space="preserve"> уточненную сводную бюджетную роспись без внесения изменений в решение о бюджете. В результате по состоянию на 01.04.2022 уточненные годовые плановые параметры бюджета составили: по доходам – 12 223 991,2 тыс. руб., по расходам – 13 063 864,1 тыс. руб., дефицит – 839 872,9 тыс. руб. </w:t>
      </w:r>
    </w:p>
    <w:p w:rsidR="004E7627" w:rsidRPr="004E7627" w:rsidRDefault="004E7627" w:rsidP="004E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E7627">
        <w:rPr>
          <w:rFonts w:ascii="Times New Roman" w:hAnsi="Times New Roman" w:cs="Times New Roman"/>
          <w:sz w:val="25"/>
          <w:szCs w:val="25"/>
        </w:rPr>
        <w:t>Увеличение прогноза доходов в основном связано с получением иных межбюджетных трансфертов.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 xml:space="preserve">За I квартал 2022 года поступления доходов составили 2 772 393,9 тыс. руб. По сравнению с аналогичным периодом 2021 года поступления налоговых и неналоговых доходов увеличились на 43 960,9 тыс. руб. (на 3,6%) в основном за счет роста собираемости налога на доходы физических лиц и налога. Безвозмездные поступления выросли </w:t>
      </w:r>
      <w:r w:rsidRPr="004E7627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4E7627">
        <w:rPr>
          <w:color w:val="212121"/>
          <w:sz w:val="25"/>
          <w:szCs w:val="25"/>
        </w:rPr>
        <w:t xml:space="preserve">на </w:t>
      </w:r>
      <w:r w:rsidRPr="004E7627">
        <w:rPr>
          <w:rFonts w:eastAsia="SimSun"/>
          <w:sz w:val="25"/>
          <w:szCs w:val="25"/>
          <w:lang w:eastAsia="ar-SA"/>
        </w:rPr>
        <w:t xml:space="preserve">216 386,2 тыс. руб. (на 16,8%) в основном за счет увеличения поступлений субвенций </w:t>
      </w:r>
      <w:r w:rsidRPr="004E7627">
        <w:rPr>
          <w:color w:val="212121"/>
          <w:sz w:val="25"/>
          <w:szCs w:val="25"/>
        </w:rPr>
        <w:t>бюджетам бюджетной системы Российской Федерации.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>Основная доля в составе доходов (40,3%) приходится на субвенции бюджетам бюджетной системы Российской Федерации и на налог на доходы физических лиц (32,5%).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>Исполнение плановых назначений по расходам увеличилось по сравнению с аналогичным периодом 2021 года на 90 668,9 тыс. руб. (на 3,6%) и составило  2 599 587,4 тыс. руб. Основная доля расходов приходится на раздел 07 «Образование» (61,2%).</w:t>
      </w:r>
    </w:p>
    <w:p w:rsidR="004E7627" w:rsidRPr="004E7627" w:rsidRDefault="004E7627" w:rsidP="004E762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4E7627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4E7627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4E7627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4E7627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программ в </w:t>
      </w:r>
      <w:r w:rsidRPr="004E7627">
        <w:rPr>
          <w:rFonts w:ascii="Times New Roman" w:eastAsia="SimSun" w:hAnsi="Times New Roman" w:cs="Times New Roman"/>
          <w:sz w:val="25"/>
          <w:szCs w:val="25"/>
          <w:lang w:val="en-US" w:eastAsia="ar-SA"/>
        </w:rPr>
        <w:t>I</w:t>
      </w:r>
      <w:r w:rsidRPr="004E7627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 квартале 2022 года составило 2 588 425,2 тыс. руб. или 20,3% уточненной сводной бюджетной росписи. При этом основная доля (70,3%) приходится на реализацию МП «Развитие социальной сферы городского округа «Город Архангельск».</w:t>
      </w:r>
    </w:p>
    <w:p w:rsidR="004E7627" w:rsidRPr="004E7627" w:rsidRDefault="004E7627" w:rsidP="004E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76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4E76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квартал 2022 </w:t>
      </w:r>
      <w:r w:rsidRPr="004E76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на реализацию национальных/федеральных проектов составило 154 149,9 тыс. руб. или 15,9% от показателей уточненной сводной бюджетной росписи (100,0% - </w:t>
      </w:r>
      <w:r w:rsidRPr="004E7627">
        <w:rPr>
          <w:rFonts w:ascii="Times New Roman" w:hAnsi="Times New Roman" w:cs="Times New Roman"/>
          <w:bCs/>
          <w:color w:val="000000"/>
          <w:sz w:val="25"/>
          <w:szCs w:val="25"/>
        </w:rPr>
        <w:t>национальный проект «Жилье и городская среда»).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>В I квартале 2022 года расходы</w:t>
      </w:r>
      <w:r w:rsidRPr="004E7627">
        <w:rPr>
          <w:rFonts w:eastAsia="SimSun"/>
          <w:sz w:val="25"/>
          <w:szCs w:val="25"/>
          <w:lang w:eastAsia="ar-SA"/>
        </w:rPr>
        <w:t xml:space="preserve"> на капитальные вложения в объекты муниципальной собственности </w:t>
      </w:r>
      <w:r w:rsidRPr="004E7627">
        <w:rPr>
          <w:color w:val="212121"/>
          <w:sz w:val="25"/>
          <w:szCs w:val="25"/>
        </w:rPr>
        <w:t>не осуществлялись (в аналогичном периоде прошлого года – 56 726,2 тыс. руб.).</w:t>
      </w:r>
    </w:p>
    <w:p w:rsidR="004E7627" w:rsidRPr="004E7627" w:rsidRDefault="004E7627" w:rsidP="004E7627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4E7627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За </w:t>
      </w:r>
      <w:r w:rsidRPr="004E76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I квартал 2022 </w:t>
      </w:r>
      <w:r w:rsidRPr="004E7627">
        <w:rPr>
          <w:rFonts w:ascii="Times New Roman" w:eastAsia="SimSun" w:hAnsi="Times New Roman" w:cs="Times New Roman"/>
          <w:sz w:val="25"/>
          <w:szCs w:val="25"/>
          <w:lang w:eastAsia="ar-SA"/>
        </w:rPr>
        <w:t>года кассовое исполнение на дорожное хозяйство (дорожные фонды) составило 163 292,2 тыс. руб., что больше на 13 510,9 тыс. руб. или на 9,0% по сравнению с аналогичным периодом прошлого года.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 xml:space="preserve">Муниципальный долг городского округа по сравнению с уровнем на начало года уменьшился на 259 000,0 тыс. руб. или на 17,6% и на 01.04.2022 года составил </w:t>
      </w:r>
      <w:r>
        <w:rPr>
          <w:color w:val="212121"/>
          <w:sz w:val="25"/>
          <w:szCs w:val="25"/>
        </w:rPr>
        <w:t xml:space="preserve">           </w:t>
      </w:r>
      <w:r w:rsidRPr="004E7627">
        <w:rPr>
          <w:color w:val="212121"/>
          <w:sz w:val="25"/>
          <w:szCs w:val="25"/>
        </w:rPr>
        <w:lastRenderedPageBreak/>
        <w:t>1 210 000,0 тыс. руб. (кредиты банков). Бюджетные кредиты и кредиты кредитных организаций в I квартале 2022 года не привлекались, аналогично соответствующим периодам 2020 и 2021 года.</w:t>
      </w:r>
    </w:p>
    <w:p w:rsidR="004E7627" w:rsidRPr="004E7627" w:rsidRDefault="004E7627" w:rsidP="004E76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4E7627">
        <w:rPr>
          <w:color w:val="212121"/>
          <w:sz w:val="25"/>
          <w:szCs w:val="25"/>
        </w:rPr>
        <w:t xml:space="preserve">Расходы на обслуживание муниципального долга составили за </w:t>
      </w:r>
      <w:r w:rsidRPr="004E7627">
        <w:rPr>
          <w:color w:val="212121"/>
          <w:sz w:val="25"/>
          <w:szCs w:val="25"/>
          <w:lang w:val="en-US"/>
        </w:rPr>
        <w:t>I</w:t>
      </w:r>
      <w:r w:rsidRPr="004E7627">
        <w:rPr>
          <w:color w:val="212121"/>
          <w:sz w:val="25"/>
          <w:szCs w:val="25"/>
        </w:rPr>
        <w:t xml:space="preserve"> квартал 2022 года 28 100,9 тыс. руб. или 1,1% от общего объема расходов бюджета.</w:t>
      </w:r>
    </w:p>
    <w:p w:rsidR="004E7627" w:rsidRPr="004E7627" w:rsidRDefault="004E7627" w:rsidP="004E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4E7627">
        <w:rPr>
          <w:rFonts w:ascii="Times New Roman" w:hAnsi="Times New Roman" w:cs="Times New Roman"/>
          <w:sz w:val="25"/>
          <w:szCs w:val="25"/>
        </w:rPr>
        <w:t>В ходе проведения экспертно-аналитического мероприятия выявлено нарушение пункта 12 Правил формирования и реализации городской адресной инвестиционной программы, утвержденных распоряжением мэрии г. Архангельска от 31.12.2013 № 4338р, в части несоответствия на 8 081,8 тыс. руб. объема бюджетных ассигнований городского бюджета на 2022 год, предусмотренного в утвержденной распоряжением заместителя Главы городского округа «Город Архангельск» от 30.12.2021 № 5551р городской адресной инвестиционной программе на 2022-2024</w:t>
      </w:r>
      <w:proofErr w:type="gramEnd"/>
      <w:r w:rsidRPr="004E7627">
        <w:rPr>
          <w:rFonts w:ascii="Times New Roman" w:hAnsi="Times New Roman" w:cs="Times New Roman"/>
          <w:sz w:val="25"/>
          <w:szCs w:val="25"/>
        </w:rPr>
        <w:t xml:space="preserve"> годы, объему бюджетных ассигнований, утвержденному сводной бюджетной росписью городского бюджета на 01.04.2022 года.</w:t>
      </w:r>
    </w:p>
    <w:p w:rsidR="00DF7D1D" w:rsidRPr="004E7627" w:rsidRDefault="00DF7D1D">
      <w:pPr>
        <w:rPr>
          <w:sz w:val="25"/>
          <w:szCs w:val="25"/>
        </w:rPr>
      </w:pPr>
    </w:p>
    <w:sectPr w:rsidR="00DF7D1D" w:rsidRPr="004E7627" w:rsidSect="004E7627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27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627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2E8E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2EBA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87</cp:revision>
  <dcterms:created xsi:type="dcterms:W3CDTF">2023-07-04T11:46:00Z</dcterms:created>
  <dcterms:modified xsi:type="dcterms:W3CDTF">2023-07-04T11:50:00Z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