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9" w:rsidRPr="009D6C75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D1569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  <w:r w:rsidR="00AF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бюджета </w:t>
      </w:r>
      <w:r w:rsidR="00B3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2023</w:t>
      </w: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F26E0" w:rsidRPr="009D6C75" w:rsidRDefault="00AF26E0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 по повышению эффективности расходов городского бюджета на 2021 – 2023 годы</w:t>
      </w:r>
    </w:p>
    <w:p w:rsidR="00AF26E0" w:rsidRPr="009D6C75" w:rsidRDefault="00AF26E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Целевой показатель</w:t>
            </w:r>
          </w:p>
        </w:tc>
      </w:tr>
      <w:tr w:rsidR="00A80650" w:rsidRPr="00AF26E0" w:rsidTr="00D10E7E">
        <w:trPr>
          <w:trHeight w:val="4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 измерения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Значения по годам</w:t>
            </w:r>
          </w:p>
        </w:tc>
      </w:tr>
      <w:tr w:rsidR="00A80650" w:rsidRPr="00AF26E0" w:rsidTr="00D10E7E">
        <w:trPr>
          <w:trHeight w:val="5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2023 год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6915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Совершенствование муниципального управления и оптимизация расходов на муниципальное управление</w:t>
            </w:r>
          </w:p>
        </w:tc>
      </w:tr>
      <w:tr w:rsidR="00AF26E0" w:rsidRPr="00AF26E0" w:rsidTr="00AF26E0">
        <w:trPr>
          <w:trHeight w:val="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A3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Развитие механизмов взаимодействия органов местного самоуправления </w:t>
            </w:r>
            <w:r w:rsidR="000A32DB" w:rsidRPr="00AF26E0">
              <w:rPr>
                <w:rFonts w:ascii="Times New Roman" w:eastAsia="Calibri" w:hAnsi="Times New Roman" w:cs="Times New Roman"/>
                <w:spacing w:val="-4"/>
              </w:rPr>
              <w:t>городского округа</w:t>
            </w:r>
            <w:r w:rsidR="0000535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"Город Архангельск" и жителей городского округа "Город Архангельск" за счет их участия в решении вопросов местного значения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в соответствии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с требованиями,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установленными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Федеральным законом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от 6 октября 2003 года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>№ 131-ФЗ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>Об общих принципах организации местного самоуправления в Российской Федерации</w:t>
            </w:r>
            <w:r w:rsidRPr="00AF26E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Архангельская городская Дума, </w:t>
            </w:r>
          </w:p>
          <w:p w:rsidR="00A80650" w:rsidRPr="00AF26E0" w:rsidRDefault="00005352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Администрация 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муниципально-правовой 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Порядок выдвижения, внесения, обсуждения, рассмотрения инициативных проектов, а также проведения их конкурсного отбора, утвержденный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Проект городского бюджета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2022 год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на плановый период 2023 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2024 годов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Порядок расчета и возврата сумм инициативных платежей, подлежащих возврату лицам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(в том числе организациям), осуществившим их перечисление в городской бюджет, утвержденный решением  Архангельской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</w:t>
            </w:r>
            <w:r w:rsidRPr="00AF26E0">
              <w:rPr>
                <w:rFonts w:ascii="Times New Roman" w:hAnsi="Times New Roman" w:cs="Times New Roman"/>
                <w:spacing w:val="-4"/>
              </w:rPr>
              <w:t>порядка выдвижения, внесения, обсуждения, рассмотрения инициативных проектов, а также проведения их конкурсного отбора, утвержденного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на 2022 год и на плановый период 2023 и 2024 годов расходов на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реализацию инициатив населения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Наличие порядка расчета и возврата сумм инициативных платежей, подлежащих возврату лицам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(в том числе организациям), осуществившим их перечисление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в городской бюджет, утвержденного решением  Архангельской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7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FD049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7F275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Реализация проекта "Бюджет твоих возможностей"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4558FF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Положение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о проекте</w:t>
            </w:r>
          </w:p>
          <w:p w:rsidR="005F169A" w:rsidRPr="00AF26E0" w:rsidRDefault="004558FF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"Бюджет твоих возможностей"</w:t>
            </w:r>
            <w:r w:rsidR="005F169A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Проект городского бюджета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2022 год 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плановый период 2023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 2024 годов</w:t>
            </w:r>
          </w:p>
          <w:p w:rsidR="00FD0496" w:rsidRPr="00AF26E0" w:rsidRDefault="00FD0496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актуального </w:t>
            </w:r>
            <w:r w:rsidR="001D240C" w:rsidRPr="00AF26E0">
              <w:rPr>
                <w:rFonts w:ascii="Times New Roman" w:hAnsi="Times New Roman" w:cs="Times New Roman"/>
                <w:spacing w:val="-4"/>
              </w:rPr>
              <w:t>Положения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о проекте "Бюджет твоих возможностей"</w:t>
            </w:r>
          </w:p>
          <w:p w:rsidR="005F169A" w:rsidRPr="00AF26E0" w:rsidRDefault="005F169A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на 2022 год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на плановый период 2023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2024 годов расходов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</w:t>
            </w:r>
            <w:r w:rsidR="0069154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реализацию </w:t>
            </w:r>
            <w:r w:rsidR="00D6041C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проекта "Бюджет твоих возможностей"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cyan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9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оценки </w:t>
            </w:r>
            <w:r w:rsidRPr="00AF26E0">
              <w:rPr>
                <w:rFonts w:ascii="Times New Roman" w:hAnsi="Times New Roman" w:cs="Times New Roman"/>
                <w:bCs/>
                <w:spacing w:val="-4"/>
              </w:rPr>
              <w:t>качества финансового менеджмента, осуществляемого главными администраторами средств городского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Порядок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Наличие порядка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Размещение актуальных редакций ведомственных целевых программ и муниципальных программ </w:t>
            </w:r>
            <w:r w:rsidR="000A32DB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официальном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информационном Интернет</w:t>
            </w:r>
            <w:r w:rsidRPr="002E50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портале муниципального образования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координаторы ведомственных целевых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4E2FF7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актуальных редакций ведомственных целевых программ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муниципальных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официальном информационном Интернет - портале муниципального образования "Город Архангельск"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E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Размещение результатов мониторинга качества финансового менеджмента главных администраторов средств городского бюджета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 офиц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иальном информационном Интернет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 портале муниципального образования "Город Архангельск"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городского округа "Город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официальном информационном Интернет - портале муниципального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образования "Город Архангельск" результатов мониторинга качества финансового менеджмента главных администраторов средств городского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6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317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Повышение уровня открытости и прозрачности управления муниципальными финансами путем опубликования информации о  бюджете в доступной для граждан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официальном информационном Интернет-портале муниципального образования "Город Архангельск" брошюр "Открытый проект бюджета", "Открытый бюджет", "Открытый отчет"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Своевременное и достоверное размещение </w:t>
            </w:r>
            <w:r w:rsidRPr="00AF26E0">
              <w:rPr>
                <w:rFonts w:ascii="Times New Roman" w:hAnsi="Times New Roman" w:cs="Times New Roman"/>
                <w:spacing w:val="-4"/>
              </w:rPr>
              <w:br/>
              <w:t xml:space="preserve">информации в информационно-телекоммуникационной сети "Интернет" на едином портале бюджетной системы Российской Федерации (далее – единый портал) </w:t>
            </w:r>
          </w:p>
          <w:p w:rsidR="00A80650" w:rsidRPr="00AF26E0" w:rsidRDefault="00A80650" w:rsidP="008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в соответствии с приказом Министерства финансов Российской Федерации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от 28 декабря 2016 года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№ 243н "О составе и порядке размещения и предоставления информации на едином портале бюджетной системы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органы, ответственные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 формирование информации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соответствии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 распоряжением директора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</w:t>
            </w:r>
            <w:r w:rsidR="009B0DB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муниципального образования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размещенной  на едином портале информации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 общего объема информации, требуемой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 размещению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D6356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Обеспечение реализации проектного управления в городском округе "Город Архангельск" для решения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B36F73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проблем (задач), стоящих перед Администрацией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для решения которых применяются принципы проектного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</w:tr>
      <w:tr w:rsidR="00B36F73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Уменьшение числа судебных решений неимущественного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Органы, ответственные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 исполнение судебных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Ежегодное сокращение судебных решений неимущественного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Тыс. рублей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 выявлении резервов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данному направлению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9B0D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Оптимизация расходов на содержание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1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  <w:r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формирования муниципального задания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оказание муниципальных услуг (выполнение работ): включение значений допустимых (возможных) отклонений по показателям качества муниципальных услуг, детализация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показателей объема муниципальных услуг (работ) в составе иной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Отраслевые (функциональные) органы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осуществляющие функции и полномочия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учредителя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органы – учредители)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муниципальных заданиях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оказание муниципальных услуг (выполнение работ) значений допустимых (возможных) отклонений по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показателям качества муниципальных услуг, детализации показателей объема муниципальных услуг (работ)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составе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Усиление контроля за выполнением муниципального задания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оказание муниципальных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выполнивших муниципальное задание на оказание муниципальных услуг (выполнение работ)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100 процентов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установленные сроки возврата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остатков субсидий на финансовое обеспечение выполнения муниципальных заданий на оказание муниципальных услуг (выполнение работ) в объеме, соответствующем не достигнутым показателям муниципальных заданий на оказание муниципальных услуг (выполнение работ)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Приказы (распоряжения) органов-учредителей о возврате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остатков субсидий на финансовое обеспечение выполнения муниципальных заданий на оказание муниципальных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Отношение возвращенных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установленные сроки остатков субсидий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финансовое обеспечение выполнения муниципальных заданий на оказание муниципальных услуг (выполнение работ) к остаткам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субсидий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на финансовое обеспечение выполнения муниципальных заданий на оказание муниципальных услуг (выполнение работ), требуемым</w:t>
            </w:r>
          </w:p>
          <w:p w:rsidR="00A8065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к возвращению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оказание муниципальных услуг, нормативных затрат (затрат) 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Порядки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оказание муниципальных услуг, нормативных затрат (затрат)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качестве объекта налогообложения по которым признается имущество муниципальных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Наличие актуальных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>определения нормативных затрат на оказание муниципальных услуг, нормативных затрат (затрат)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Архангельск"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по отдельным муниципальным услугам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(работам)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5.</w:t>
            </w:r>
            <w:r w:rsidRPr="00AF26E0"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Усиление контроля за размещением информации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на Официальном сайте Российской Федерации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в сети Интернет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для размещения информации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>о государственных (муниципальных) учреждениях www.bus.gov.ru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80650" w:rsidP="002E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размещении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на Официальном сайте Российской Федерации в сети Интернет для размещения информации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>о государственных (муниципальных) учреждениях www.bus.gov.ru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электронных копий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разместивших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полном объеме необходимую информацию,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 общего количества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Недопущение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остатков средств, предоставленных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им в соответствии с абзацем вторым пункта 1статьи 78.1 Бюджетного кодекса Российской Федерации,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(далее – остатки средств субсидий на иные цели)</w:t>
            </w:r>
            <w:r w:rsidRPr="00AF26E0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Отсутствие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остатков средств</w:t>
            </w:r>
            <w:r w:rsidRPr="00AF26E0">
              <w:rPr>
                <w:rFonts w:ascii="Times New Roman" w:eastAsia="Times New Roman" w:hAnsi="Times New Roman" w:cs="Times New Roman"/>
                <w:strike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субсидий на иные цели на конец месяца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Сумма остатков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средств субсидий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 иные цели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Да/нет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Тыс. рублей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7.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нагрузки на бюджетную сеть (количество учреждений, контингент, количество персонала, объемы и качество оказываемых (выполняемых) муниципальных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227C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15 апреля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департамента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предложений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предложений по изменению бюджетной сети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E3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Ежегодно до 1 мая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соответствующего заместителя Главы городского округа "Город Архангельск", заместителя 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вопросам экономического развития 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финансам, 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предложений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9.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процесса передачи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несвойственных функций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аутсорсинг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учредители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31 декабря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соответствую-щего заместителя Главы городского округа "Город Архангельск", заместителя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Уменьшение количества штатных единиц прочего персонала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Человек</w:t>
            </w: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80650" w:rsidRPr="00AF26E0" w:rsidTr="00AF26E0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использования имущества, закрепленного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департамент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9B0DBC" w:rsidP="0001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До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 мая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соответствующего заместителя Главы городского округа "Город Архангельск", заместителя Главы городского округа "Город Архангельск" по вопросам экономического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имущества, неиспользуемого для осуществления деятельности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035CD2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Да/н</w:t>
            </w:r>
            <w:r w:rsidR="00A80650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80650" w:rsidRPr="00AF26E0" w:rsidTr="00AF26E0">
        <w:trPr>
          <w:trHeight w:val="4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11.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Развитие приносящей доход деятельности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F1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муниципальные бюджетные и автономные учреждения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доходов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за счет поступлений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 оказания услуг (выполнения работ) гражданам и юридическим лицам за плату,  поступлений от иной приносящий доход деятельности на 5 % ежегодно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оказывающих услуги (выполняющих работы) гражданам и юридическим лицам 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18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12.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оказания услуг (выполнения работ) для граждан и юридических лиц за плату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 июня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</w:t>
            </w:r>
            <w:r w:rsidRPr="002E50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соответствующего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заместителя Главы городского округа "Город Архангельск", заместителя  Главы городского округа "Город Архангельск"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услуг (работ), оказываемых (выполняемых) муниципальными учреждениями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для граждан и юридических лиц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</w:tr>
      <w:tr w:rsidR="00A80650" w:rsidRPr="00AF26E0" w:rsidTr="00D10E7E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мероприятий по энергосбережению в муниципальных учреждениях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учредители, муниципальные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реализующих мероприятия по энергосбережению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энергосервисных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14.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Продолжение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централизации ведения бюджетного (бухгалтерского) учета и формирования отчетности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учредители, муниципальное казенное учреждение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"Центр бухгалтерского и экономического обслуживания" (далее - МКУ "ЦБиЭО"), муниципальные бюджетные и автономные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В течение 2021 -2022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График  поэтапной централизации бюджетного (бухгалтерского) учета и отчетности в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муниципальных учреждениях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Доля муници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обслуживаемых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МКУ "ЦБиЭО",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общем количестве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которые планируется передать на обслуживание в МКУ "ЦБиЭО"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соответствии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 Графиком  поэтапной централизации бюджетного (бухгалтерского) учета и отчетности </w:t>
            </w:r>
          </w:p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муниципальных учреждениях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F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≥ 85,0</w:t>
            </w:r>
            <w:r w:rsidRPr="00AF26E0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</w:p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100,0</w:t>
            </w: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15</w:t>
            </w:r>
            <w:r w:rsidR="0055292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Повышение эффективности внутреннего муниципального финансового контроля </w:t>
            </w:r>
          </w:p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отношении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и органов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Контрольно-ревизионное управление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Федеральные стандарты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 осуществлению внутреннего государственного </w:t>
            </w:r>
            <w:r w:rsidRPr="002E50C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(муниципального)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справка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выявленных нарушениях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(в том числе типовых)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8B5BC1" w:rsidP="009B0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III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Повышение эффективности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мониторинга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эффективности деятельности муниципальных предприятий. Совершенствование системы финансового планирования показателей финансово-экономической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записка в адрес Главы городского округа "Город Архангельск"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Увеличение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количества прибыльных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проектов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повышению доходов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оптимизации расходов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69154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заместителя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исполнивших показатели планов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Внедрение методов бюджетирования, направленных на увеличение прибыли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перспективах развития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обществ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внедряющих методы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4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Контроль за использованием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"Город Архангельск" и обществ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 использовании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использующих амортизационные отчисления на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приватизации муниципальных унитарных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362653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муниципального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 отдельном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Прогнозный план приватизации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Количество приватизированных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6A3E74" w:rsidP="00691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lastRenderedPageBreak/>
              <w:t>IV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закупок для муниципальных нужд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централизации закупок товаров, работ и услуг для муниципальных нужд и нужд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– 2022 годов</w:t>
            </w:r>
          </w:p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централизованных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осуществляемых заказчиками городского округа "Город Архангельск" закупок малого объема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Портале малых закупок Архангельска - Амаркет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осуществленных заказчиками городского округа "Город Архангельск" закупок малого объема на Портале малых закупок Архангельска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1100</w:t>
            </w:r>
          </w:p>
        </w:tc>
      </w:tr>
    </w:tbl>
    <w:p w:rsidR="00AF26E0" w:rsidRDefault="00AF26E0">
      <w:r>
        <w:br w:type="page"/>
      </w: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8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анализа соблюдения требований законодательства муниципальными бюджетными и автономными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по авансированию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- учредители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бюджетных и автономных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соблюдающих требования законодательства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авансированию при заключении договоров (контрактов)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поставку товаров, выполнение работ,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результативности претензионной работы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досудебном порядке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Претензия о взыскании неустойки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пальных контрактов, по которым проведена претензионная работа от всех муниципальных контрактов,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которым допущены нарушения их условий поставщиком (подрядчиком, исполнителем)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8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A80650"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результативности работы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взысканию неустойки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 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Муниципально – правовой департамент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Решение суда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пользу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контрактов,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по которым получены решения суда в пользу заказчика от всех муниципальных контрактов (требующих взыскания неустойки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судебном порядке),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которым допущены нарушения их условий поставщиком (подрядчиком, исполнителем)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50,0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2" w:rsidRDefault="00A80650" w:rsidP="0034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Обеспечение результативности работы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взаимодействию </w:t>
            </w:r>
          </w:p>
          <w:p w:rsidR="00A80650" w:rsidRPr="00AF26E0" w:rsidRDefault="00A80650" w:rsidP="0034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Управлением Федеральной службы судебных приставов по Архангельской области и Ненецкому автономному округу (далее – Управление) по взысканию задолженности в пользу заказчиков, связанной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нарушениями поставщиками (подрядчиками, исполнителями) условий муниципальных контрактов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Муниципально – правовой департамент </w:t>
            </w:r>
            <w:r w:rsidR="00005352">
              <w:rPr>
                <w:rFonts w:ascii="Times New Roman" w:hAnsi="Times New Roman" w:cs="Times New Roman"/>
                <w:color w:val="000000"/>
                <w:spacing w:val="-4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1 раз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в полугодие</w:t>
            </w:r>
          </w:p>
          <w:p w:rsidR="00A80650" w:rsidRPr="00AF26E0" w:rsidRDefault="00A80650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Письменный запрос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в Управление, документы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по повторному предъявлению исполнительного документа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Доля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исполнитель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ных производств,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которым в течение года проводилось письменное взаимодействие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Управлением,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а именно: направлялись письменные запросы с целью получения информации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о проведенных мероприятиях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взысканию задолженности, повторное предъявление 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исполнительного документа, от общего объема таких исполнительных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7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Консолидация экономии бюджетных ассигнований городского бюджета, полученной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 осуществлении главными распорядителями средств городского бюджета, муниципальными казенными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городского округа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 закупок товаров, работ, услуг для обеспечения муниципальных нужд городского округа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течение 2021  года</w:t>
            </w: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Протокол бюджетной комиссии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Доля экономии бюджетных ассигнований городского бюджета, одобренной бюджетной комиссией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 общего объема экономии бюджетных ассигнований городского бюджета, заявленной главными распорядителями средств городского бюджета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соответствии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 пунктом 2</w:t>
            </w:r>
            <w:r w:rsidRPr="00AF26E0"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  <w:t>1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постановления Главы муниципального образования "Город Архангельск"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 21 декабря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2020 года 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270 "Об особен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ностях реализации решения Архангельской городской Думы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"О городском бюджете на 2021 год и на плановый период 2022 и 2023 годов"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65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V.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ab/>
              <w:t>Снижение (недопущение образования) просроченной кредиторской задолженности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анализа: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рисков возникновения просроченной кредиторской задолженности главных распорядителей средств городского бюджета, 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кредиторская задолженность), подготовка предложений по недопущению образования кредиторской задолженности;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31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структуры просроченной кредиторской задолженности и причин, влияющих на ее образование, подготовка предложений по погашению кредиторской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Ежеквартально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 15 числа месяца </w:t>
            </w:r>
            <w:r w:rsidRPr="0025797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следующего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за отчетным периодом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соответствующего заместителя Главы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Недопущение увеличения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Сумма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A80650" w:rsidRPr="00AF26E0" w:rsidTr="00D10E7E">
        <w:trPr>
          <w:trHeight w:val="199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F26E0" w:rsidP="007C6A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lastRenderedPageBreak/>
              <w:br w:type="page"/>
            </w:r>
            <w:r w:rsidR="006A3E7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VI</w:t>
            </w:r>
            <w:r w:rsidR="006A3E7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Оптимизация инвестиционных расходов, субсидий юридическим лицам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Оптимизация расходов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осуществление бюджетных инвестиций путем привлечения инвесторов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основе концессионных соглашений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Концессионное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концессионных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</w:tr>
      <w:tr w:rsidR="00A80650" w:rsidRPr="00AF26E0" w:rsidTr="00AF26E0">
        <w:trPr>
          <w:trHeight w:val="4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Формирование реестра проектной документации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строительство, реконструкцию, капитальный ремонт объектов жилищно – гражданского назначения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дорожного хозяйства по результатам оценки актуальности имеющейся проектной документации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строительство, реконструкцию, капитальный ремонт объектов жилищно – гражданского назначения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дорожного хозяйства и соответствия ее нормам, текущей и перспективной потребности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1 июня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заместителя Главы городского округа "Город Архангельск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 инфраструктурному развитию,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заместителя  Главы городского округа "Город Архангельск"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актуального реестра проектной документации на строительство, реконструкцию, капитальный ремонт объектов жилищно – гражданского назначения и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</w:tr>
      <w:tr w:rsidR="00A80650" w:rsidRPr="00AF26E0" w:rsidTr="00D10E7E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предоставления субсидий юридическим лицам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2021 - 2023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Постановление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Своевременное приведение порядков предоставления субсидий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соответствие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законодательством Российской Федерации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Своевременное заключение договоров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bookmarkStart w:id="0" w:name="_GoBack"/>
            <w:bookmarkEnd w:id="0"/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 предоставлении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</w:tbl>
    <w:p w:rsid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1C" w:rsidRP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B3171C" w:rsidRPr="00D10E7E" w:rsidSect="00B1388A">
      <w:headerReference w:type="default" r:id="rId9"/>
      <w:pgSz w:w="16838" w:h="11906" w:orient="landscape"/>
      <w:pgMar w:top="1560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C2" w:rsidRDefault="002E50C2" w:rsidP="00AF26E0">
      <w:pPr>
        <w:spacing w:after="0" w:line="240" w:lineRule="auto"/>
      </w:pPr>
      <w:r>
        <w:separator/>
      </w:r>
    </w:p>
  </w:endnote>
  <w:endnote w:type="continuationSeparator" w:id="0">
    <w:p w:rsidR="002E50C2" w:rsidRDefault="002E50C2" w:rsidP="00A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C2" w:rsidRDefault="002E50C2" w:rsidP="00AF26E0">
      <w:pPr>
        <w:spacing w:after="0" w:line="240" w:lineRule="auto"/>
      </w:pPr>
      <w:r>
        <w:separator/>
      </w:r>
    </w:p>
  </w:footnote>
  <w:footnote w:type="continuationSeparator" w:id="0">
    <w:p w:rsidR="002E50C2" w:rsidRDefault="002E50C2" w:rsidP="00AF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4459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E50C2" w:rsidRDefault="002E50C2">
        <w:pPr>
          <w:pStyle w:val="a4"/>
          <w:jc w:val="center"/>
        </w:pPr>
      </w:p>
      <w:p w:rsidR="002E50C2" w:rsidRDefault="002E50C2">
        <w:pPr>
          <w:pStyle w:val="a4"/>
          <w:jc w:val="center"/>
          <w:rPr>
            <w:sz w:val="22"/>
          </w:rPr>
        </w:pPr>
      </w:p>
      <w:p w:rsidR="002E50C2" w:rsidRDefault="002E50C2">
        <w:pPr>
          <w:pStyle w:val="a4"/>
          <w:jc w:val="center"/>
          <w:rPr>
            <w:sz w:val="22"/>
          </w:rPr>
        </w:pPr>
        <w:r w:rsidRPr="00AF26E0">
          <w:rPr>
            <w:sz w:val="22"/>
          </w:rPr>
          <w:fldChar w:fldCharType="begin"/>
        </w:r>
        <w:r w:rsidRPr="00AF26E0">
          <w:rPr>
            <w:sz w:val="22"/>
          </w:rPr>
          <w:instrText>PAGE   \* MERGEFORMAT</w:instrText>
        </w:r>
        <w:r w:rsidRPr="00AF26E0">
          <w:rPr>
            <w:sz w:val="22"/>
          </w:rPr>
          <w:fldChar w:fldCharType="separate"/>
        </w:r>
        <w:r w:rsidR="00257972">
          <w:rPr>
            <w:noProof/>
            <w:sz w:val="22"/>
          </w:rPr>
          <w:t>22</w:t>
        </w:r>
        <w:r w:rsidRPr="00AF26E0">
          <w:rPr>
            <w:sz w:val="22"/>
          </w:rPr>
          <w:fldChar w:fldCharType="end"/>
        </w:r>
      </w:p>
      <w:tbl>
        <w:tblPr>
          <w:tblW w:w="15031" w:type="dxa"/>
          <w:tblInd w:w="-34" w:type="dxa"/>
          <w:tblLayout w:type="fixed"/>
          <w:tblLook w:val="04A0" w:firstRow="1" w:lastRow="0" w:firstColumn="1" w:lastColumn="0" w:noHBand="0" w:noVBand="1"/>
        </w:tblPr>
        <w:tblGrid>
          <w:gridCol w:w="560"/>
          <w:gridCol w:w="2843"/>
          <w:gridCol w:w="1985"/>
          <w:gridCol w:w="1277"/>
          <w:gridCol w:w="1843"/>
          <w:gridCol w:w="2126"/>
          <w:gridCol w:w="1417"/>
          <w:gridCol w:w="993"/>
          <w:gridCol w:w="993"/>
          <w:gridCol w:w="994"/>
        </w:tblGrid>
        <w:tr w:rsidR="002E50C2" w:rsidRPr="009C414E" w:rsidTr="0069154E">
          <w:trPr>
            <w:trHeight w:val="63"/>
          </w:trPr>
          <w:tc>
            <w:tcPr>
              <w:tcW w:w="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3A5BE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  <w:t>1</w:t>
              </w:r>
            </w:p>
          </w:tc>
          <w:tc>
            <w:tcPr>
              <w:tcW w:w="2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</w:rPr>
              </w:pPr>
              <w:r>
                <w:rPr>
                  <w:rFonts w:ascii="Times New Roman" w:eastAsia="Calibri" w:hAnsi="Times New Roman" w:cs="Times New Roman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EF0230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</w:t>
              </w:r>
            </w:p>
          </w:tc>
          <w:tc>
            <w:tcPr>
              <w:tcW w:w="12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</w:t>
              </w:r>
            </w:p>
          </w:tc>
          <w:tc>
            <w:tcPr>
              <w:tcW w:w="9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</w:p>
          </w:tc>
        </w:tr>
      </w:tbl>
      <w:p w:rsidR="002E50C2" w:rsidRPr="00AF26E0" w:rsidRDefault="002E50C2">
        <w:pPr>
          <w:pStyle w:val="a4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352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2913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972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4F16"/>
    <w:rsid w:val="002C72C0"/>
    <w:rsid w:val="002D2291"/>
    <w:rsid w:val="002D6548"/>
    <w:rsid w:val="002D72C8"/>
    <w:rsid w:val="002D7E7D"/>
    <w:rsid w:val="002E428B"/>
    <w:rsid w:val="002E461B"/>
    <w:rsid w:val="002E4987"/>
    <w:rsid w:val="002E50C2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54E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6A56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43A83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1288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0DBC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27B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26E0"/>
    <w:rsid w:val="00AF3B63"/>
    <w:rsid w:val="00B11F76"/>
    <w:rsid w:val="00B1388A"/>
    <w:rsid w:val="00B16DA0"/>
    <w:rsid w:val="00B2373D"/>
    <w:rsid w:val="00B262F7"/>
    <w:rsid w:val="00B3171C"/>
    <w:rsid w:val="00B3236F"/>
    <w:rsid w:val="00B329BA"/>
    <w:rsid w:val="00B3418F"/>
    <w:rsid w:val="00B34298"/>
    <w:rsid w:val="00B35D1E"/>
    <w:rsid w:val="00B362B6"/>
    <w:rsid w:val="00B36AF9"/>
    <w:rsid w:val="00B36F73"/>
    <w:rsid w:val="00B377D7"/>
    <w:rsid w:val="00B37BBD"/>
    <w:rsid w:val="00B42906"/>
    <w:rsid w:val="00B43393"/>
    <w:rsid w:val="00B43686"/>
    <w:rsid w:val="00B447CC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91A18"/>
    <w:rsid w:val="00C943F5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0E7E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183D-886A-402E-819B-E3E3850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Ольга Борисовна Александрова</cp:lastModifiedBy>
  <cp:revision>3</cp:revision>
  <cp:lastPrinted>2021-08-05T12:27:00Z</cp:lastPrinted>
  <dcterms:created xsi:type="dcterms:W3CDTF">2021-08-05T11:51:00Z</dcterms:created>
  <dcterms:modified xsi:type="dcterms:W3CDTF">2021-08-05T12:27:00Z</dcterms:modified>
</cp:coreProperties>
</file>