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874E66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 w:rsidRPr="002011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DA9">
        <w:rPr>
          <w:rFonts w:ascii="Times New Roman" w:hAnsi="Times New Roman" w:cs="Times New Roman"/>
          <w:bCs/>
          <w:sz w:val="24"/>
          <w:szCs w:val="24"/>
        </w:rPr>
        <w:t>4</w:t>
      </w:r>
    </w:p>
    <w:p w:rsidR="00B04DA9" w:rsidRPr="002011AE" w:rsidRDefault="00B04DA9" w:rsidP="00874E66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874E6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874E66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874E66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4C17F1" w:rsidRPr="002011AE" w:rsidRDefault="004C17F1" w:rsidP="00395AA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106E5E" w:rsidRPr="00952C51" w:rsidRDefault="00106E5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C5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C0CDA" w:rsidRPr="004C0CDA" w:rsidRDefault="004C0CDA" w:rsidP="002B60B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CDA">
        <w:rPr>
          <w:rFonts w:ascii="Times New Roman" w:hAnsi="Times New Roman" w:cs="Times New Roman"/>
          <w:b/>
          <w:sz w:val="28"/>
          <w:szCs w:val="28"/>
        </w:rPr>
        <w:t xml:space="preserve">о результатах  публичных  консультаций  по проекту  </w:t>
      </w:r>
      <w:r w:rsidR="006A6A52">
        <w:rPr>
          <w:rFonts w:ascii="Times New Roman" w:hAnsi="Times New Roman" w:cs="Times New Roman"/>
          <w:b/>
          <w:sz w:val="28"/>
          <w:szCs w:val="28"/>
        </w:rPr>
        <w:t>решения Архангельской городской Думы</w:t>
      </w:r>
      <w:r w:rsidR="002B6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0BD" w:rsidRPr="002B60BD">
        <w:rPr>
          <w:rFonts w:ascii="Times New Roman" w:hAnsi="Times New Roman" w:cs="Times New Roman"/>
          <w:b/>
          <w:sz w:val="28"/>
          <w:szCs w:val="28"/>
        </w:rPr>
        <w:t>«О внесении изменений в Положение об арендной плате за использование земельных участков находящихся в собственности муниципального образования «Город Архангельск»</w:t>
      </w: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Разработчик</w:t>
      </w:r>
      <w:r w:rsidR="00D63AF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="00D63AF4" w:rsidRPr="00D63AF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департамент муниципального имущества </w:t>
      </w:r>
      <w:r w:rsidR="005733E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Администрации муниципального образования «Город Архангельск»</w:t>
      </w:r>
    </w:p>
    <w:p w:rsidR="00D63AF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3AF4">
        <w:rPr>
          <w:rFonts w:ascii="Times New Roman" w:eastAsia="MS Mincho" w:hAnsi="Times New Roman" w:cs="Times New Roman"/>
          <w:sz w:val="28"/>
          <w:szCs w:val="28"/>
          <w:lang w:eastAsia="ja-JP"/>
        </w:rPr>
        <w:t>Сфера регулирования</w:t>
      </w:r>
      <w:r w:rsidR="00D63AF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63AF4" w:rsidRPr="00D63AF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предпринимательская деятельность</w:t>
      </w:r>
    </w:p>
    <w:p w:rsidR="00580ADB" w:rsidRPr="00D63AF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3AF4">
        <w:rPr>
          <w:rFonts w:ascii="Times New Roman" w:eastAsia="MS Mincho" w:hAnsi="Times New Roman" w:cs="Times New Roman"/>
          <w:sz w:val="28"/>
          <w:szCs w:val="28"/>
          <w:lang w:eastAsia="ja-JP"/>
        </w:rPr>
        <w:t>Сроки проведения публичных консультаций</w:t>
      </w:r>
    </w:p>
    <w:p w:rsidR="00580ADB" w:rsidRPr="00580ADB" w:rsidRDefault="00874E66" w:rsidP="00580ADB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Начало "</w:t>
      </w:r>
      <w:r w:rsidR="005733E4">
        <w:rPr>
          <w:rFonts w:ascii="Times New Roman" w:eastAsia="MS Mincho" w:hAnsi="Times New Roman" w:cs="Times New Roman"/>
          <w:sz w:val="28"/>
          <w:szCs w:val="28"/>
          <w:lang w:eastAsia="ja-JP"/>
        </w:rPr>
        <w:t>15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733E4">
        <w:rPr>
          <w:rFonts w:ascii="Times New Roman" w:eastAsia="MS Mincho" w:hAnsi="Times New Roman" w:cs="Times New Roman"/>
          <w:sz w:val="28"/>
          <w:szCs w:val="28"/>
          <w:lang w:eastAsia="ja-JP"/>
        </w:rPr>
        <w:t>ноября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5733E4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580ADB" w:rsidRDefault="00874E66" w:rsidP="00580ADB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Окончание "</w:t>
      </w:r>
      <w:r w:rsidR="005733E4">
        <w:rPr>
          <w:rFonts w:ascii="Times New Roman" w:eastAsia="MS Mincho" w:hAnsi="Times New Roman" w:cs="Times New Roman"/>
          <w:sz w:val="28"/>
          <w:szCs w:val="28"/>
          <w:lang w:eastAsia="ja-JP"/>
        </w:rPr>
        <w:t>05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5733E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декабря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5733E4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106E5E" w:rsidRPr="00952C51" w:rsidRDefault="0061522C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52C51">
        <w:rPr>
          <w:rFonts w:ascii="Times New Roman" w:eastAsia="MS Mincho" w:hAnsi="Times New Roman" w:cs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70"/>
        <w:gridCol w:w="2693"/>
        <w:gridCol w:w="2694"/>
      </w:tblGrid>
      <w:tr w:rsidR="00580ADB" w:rsidRPr="00C3323D" w:rsidTr="00056E87">
        <w:tc>
          <w:tcPr>
            <w:tcW w:w="708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№ </w:t>
            </w: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3970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2693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Срок (дата)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проведения</w:t>
            </w:r>
          </w:p>
        </w:tc>
        <w:tc>
          <w:tcPr>
            <w:tcW w:w="2694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580ADB" w:rsidRPr="00C3323D" w:rsidTr="00056E87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3970" w:type="dxa"/>
            <w:shd w:val="clear" w:color="auto" w:fill="auto"/>
          </w:tcPr>
          <w:p w:rsidR="00580ADB" w:rsidRPr="00C3323D" w:rsidRDefault="00D63AF4" w:rsidP="005733E4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Заочные публичные консультации на сайте </w:t>
            </w:r>
            <w:r w:rsidR="005733E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Администрации муниципального образования «Город Архангельск»</w:t>
            </w:r>
          </w:p>
        </w:tc>
        <w:tc>
          <w:tcPr>
            <w:tcW w:w="2693" w:type="dxa"/>
            <w:shd w:val="clear" w:color="auto" w:fill="auto"/>
          </w:tcPr>
          <w:p w:rsidR="00580ADB" w:rsidRDefault="005733E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15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ноября 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-</w:t>
            </w:r>
          </w:p>
          <w:p w:rsidR="00D63AF4" w:rsidRPr="00C3323D" w:rsidRDefault="005733E4" w:rsidP="005733E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05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декабря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201</w:t>
            </w: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6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года</w:t>
            </w:r>
          </w:p>
        </w:tc>
        <w:tc>
          <w:tcPr>
            <w:tcW w:w="2694" w:type="dxa"/>
            <w:shd w:val="clear" w:color="auto" w:fill="auto"/>
          </w:tcPr>
          <w:p w:rsidR="00580ADB" w:rsidRPr="00C3323D" w:rsidRDefault="005733E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6</w:t>
            </w:r>
          </w:p>
        </w:tc>
      </w:tr>
    </w:tbl>
    <w:p w:rsidR="00580ADB" w:rsidRPr="00580ADB" w:rsidRDefault="00580ADB" w:rsidP="00580ADB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Состав участников публичных консультаций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70"/>
        <w:gridCol w:w="2693"/>
        <w:gridCol w:w="2694"/>
      </w:tblGrid>
      <w:tr w:rsidR="00580ADB" w:rsidRPr="00C3323D" w:rsidTr="00056E87">
        <w:tc>
          <w:tcPr>
            <w:tcW w:w="708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№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3970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целевой группы</w:t>
            </w:r>
          </w:p>
        </w:tc>
        <w:tc>
          <w:tcPr>
            <w:tcW w:w="2693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694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Доля от общего количества участников</w:t>
            </w: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(%)</w:t>
            </w:r>
            <w:proofErr w:type="gramEnd"/>
          </w:p>
        </w:tc>
      </w:tr>
      <w:tr w:rsidR="00580ADB" w:rsidRPr="00C3323D" w:rsidTr="00056E87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3970" w:type="dxa"/>
            <w:shd w:val="clear" w:color="auto" w:fill="auto"/>
          </w:tcPr>
          <w:p w:rsidR="00580ADB" w:rsidRPr="00C3323D" w:rsidRDefault="00D63AF4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Уполномоченный при Губернаторе Архангельской области по защите</w:t>
            </w:r>
            <w:r w:rsidR="00FC5417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прав предпринимателей</w:t>
            </w:r>
          </w:p>
        </w:tc>
        <w:tc>
          <w:tcPr>
            <w:tcW w:w="2693" w:type="dxa"/>
            <w:shd w:val="clear" w:color="auto" w:fill="auto"/>
          </w:tcPr>
          <w:p w:rsidR="00580ADB" w:rsidRPr="00C3323D" w:rsidRDefault="00FC5417" w:rsidP="00FC5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580ADB" w:rsidRPr="00C3323D" w:rsidRDefault="00E45C49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  <w:r w:rsidR="002B60B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7</w:t>
            </w:r>
            <w:r w:rsidR="006A6A5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580ADB" w:rsidRPr="00C3323D" w:rsidTr="00056E87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2.</w:t>
            </w:r>
          </w:p>
        </w:tc>
        <w:tc>
          <w:tcPr>
            <w:tcW w:w="3970" w:type="dxa"/>
            <w:shd w:val="clear" w:color="auto" w:fill="auto"/>
          </w:tcPr>
          <w:p w:rsidR="00580ADB" w:rsidRDefault="00FC5417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Представители общественных организаций малого и среднего  предпринимательства</w:t>
            </w:r>
            <w:r w:rsidR="006A6A5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Архангельска и Архангельской области</w:t>
            </w:r>
          </w:p>
          <w:p w:rsidR="00B851DD" w:rsidRPr="00C3323D" w:rsidRDefault="00B851DD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</w:tc>
        <w:tc>
          <w:tcPr>
            <w:tcW w:w="2693" w:type="dxa"/>
            <w:shd w:val="clear" w:color="auto" w:fill="auto"/>
          </w:tcPr>
          <w:p w:rsidR="00580ADB" w:rsidRPr="00C3323D" w:rsidRDefault="005733E4" w:rsidP="005733E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580ADB" w:rsidRPr="00C3323D" w:rsidRDefault="00E45C49" w:rsidP="00E45C4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17</w:t>
            </w:r>
            <w:r w:rsidR="006A6A5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6A6A52" w:rsidRPr="00C3323D" w:rsidTr="00056E87">
        <w:tc>
          <w:tcPr>
            <w:tcW w:w="708" w:type="dxa"/>
            <w:shd w:val="clear" w:color="auto" w:fill="auto"/>
          </w:tcPr>
          <w:p w:rsidR="006A6A52" w:rsidRDefault="006A6A52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3.</w:t>
            </w:r>
          </w:p>
        </w:tc>
        <w:tc>
          <w:tcPr>
            <w:tcW w:w="3970" w:type="dxa"/>
            <w:shd w:val="clear" w:color="auto" w:fill="auto"/>
          </w:tcPr>
          <w:p w:rsidR="006A6A52" w:rsidRDefault="005733E4" w:rsidP="005733E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Индивидуальные предприниматели</w:t>
            </w:r>
            <w:r w:rsidR="006A6A5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6A6A52" w:rsidRDefault="005733E4" w:rsidP="005733E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6A6A52" w:rsidRPr="00C3323D" w:rsidRDefault="00E45C49" w:rsidP="00E45C4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66</w:t>
            </w:r>
            <w:r w:rsidR="006A6A5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580ADB" w:rsidRPr="00C3323D" w:rsidTr="00056E87">
        <w:tc>
          <w:tcPr>
            <w:tcW w:w="708" w:type="dxa"/>
            <w:shd w:val="clear" w:color="auto" w:fill="auto"/>
          </w:tcPr>
          <w:p w:rsidR="00580ADB" w:rsidRPr="00C3323D" w:rsidRDefault="00580ADB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ИТОГО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0ADB" w:rsidRPr="00C3323D" w:rsidRDefault="00E45C49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100</w:t>
            </w:r>
          </w:p>
        </w:tc>
      </w:tr>
    </w:tbl>
    <w:p w:rsidR="00580ADB" w:rsidRDefault="00580ADB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174A2" w:rsidRPr="00580ADB" w:rsidRDefault="007174A2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Свод предложений по результатам публичных консультаций</w:t>
      </w: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780"/>
        <w:gridCol w:w="3014"/>
        <w:gridCol w:w="1938"/>
        <w:gridCol w:w="4441"/>
      </w:tblGrid>
      <w:tr w:rsidR="007F246B" w:rsidTr="00056E87">
        <w:tc>
          <w:tcPr>
            <w:tcW w:w="780" w:type="dxa"/>
          </w:tcPr>
          <w:p w:rsidR="00C94164" w:rsidRDefault="00C9416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014" w:type="dxa"/>
          </w:tcPr>
          <w:p w:rsidR="00C94164" w:rsidRDefault="00C9416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Замечания и предложения</w:t>
            </w:r>
          </w:p>
        </w:tc>
        <w:tc>
          <w:tcPr>
            <w:tcW w:w="1938" w:type="dxa"/>
          </w:tcPr>
          <w:p w:rsidR="00C94164" w:rsidRDefault="00C9416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Участники консультаций, представившие замечания</w:t>
            </w:r>
          </w:p>
        </w:tc>
        <w:tc>
          <w:tcPr>
            <w:tcW w:w="4441" w:type="dxa"/>
          </w:tcPr>
          <w:p w:rsidR="00C94164" w:rsidRDefault="00C9416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Комментарии (позиция) разработчика</w:t>
            </w:r>
          </w:p>
        </w:tc>
      </w:tr>
      <w:tr w:rsidR="007F246B" w:rsidTr="00056E87">
        <w:tc>
          <w:tcPr>
            <w:tcW w:w="780" w:type="dxa"/>
          </w:tcPr>
          <w:p w:rsidR="00C94164" w:rsidRDefault="00C94164" w:rsidP="00106E5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14" w:type="dxa"/>
          </w:tcPr>
          <w:p w:rsidR="00C94164" w:rsidRPr="004C17F1" w:rsidRDefault="00C94164" w:rsidP="00106E5E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C17F1">
              <w:rPr>
                <w:rFonts w:ascii="Times New Roman" w:hAnsi="Times New Roman"/>
                <w:sz w:val="27"/>
                <w:szCs w:val="27"/>
              </w:rPr>
              <w:t xml:space="preserve">Проект правового акта увеличивает для субъектов предпринимательской деятельности ставку арендной платы за земельные участки, предназначенные для </w:t>
            </w:r>
            <w:r w:rsidRPr="004C17F1">
              <w:rPr>
                <w:rFonts w:ascii="Times New Roman" w:hAnsi="Times New Roman"/>
                <w:sz w:val="27"/>
                <w:szCs w:val="27"/>
                <w:lang w:eastAsia="ru-RU"/>
              </w:rPr>
              <w:t>размещения нестационарных объектов торговли (в том числе с комплексом сооружений для посадки, высадки пассажиров и ожидания транспортных средств на остановочных пунктах по маршруту регулярных перевозок пассажирским транспортом) с 10% до 25%. Данное решение об увеличении ставки арендной платы, безусловно, повлечет за собой необоснованные расходы</w:t>
            </w:r>
            <w:proofErr w:type="gramEnd"/>
            <w:r w:rsidRPr="004C17F1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субъектов предпринимательской деятельности, осуществляющих деятельность на земельных участках, подпадающих под изменяемый пункт</w:t>
            </w:r>
            <w:r w:rsidR="004C17F1" w:rsidRPr="004C17F1">
              <w:rPr>
                <w:rFonts w:ascii="Times New Roman" w:hAnsi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938" w:type="dxa"/>
          </w:tcPr>
          <w:p w:rsidR="00C94164" w:rsidRPr="00C94164" w:rsidRDefault="00C94164" w:rsidP="00C9416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У</w:t>
            </w:r>
            <w:r w:rsidRPr="00C9416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полномоченн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ый</w:t>
            </w:r>
            <w:r w:rsidRPr="00C9416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при Губернаторе Архангельской области по защите прав предпринимателей</w:t>
            </w:r>
          </w:p>
        </w:tc>
        <w:tc>
          <w:tcPr>
            <w:tcW w:w="4441" w:type="dxa"/>
          </w:tcPr>
          <w:p w:rsidR="009B136D" w:rsidRDefault="001E2A19" w:rsidP="009B136D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C94164" w:rsidRPr="004C17F1">
              <w:rPr>
                <w:rFonts w:ascii="Times New Roman" w:hAnsi="Times New Roman" w:cs="Times New Roman"/>
                <w:sz w:val="27"/>
                <w:szCs w:val="27"/>
              </w:rPr>
              <w:t>тавки арендной платы</w:t>
            </w:r>
            <w:r w:rsidR="007F246B" w:rsidRPr="004C17F1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C94164" w:rsidRPr="004C17F1">
              <w:rPr>
                <w:rFonts w:ascii="Times New Roman" w:hAnsi="Times New Roman" w:cs="Times New Roman"/>
                <w:sz w:val="27"/>
                <w:szCs w:val="27"/>
              </w:rPr>
              <w:t xml:space="preserve"> предлагаемые к изменению в проекте решения Архангельской городской Думы приводятся в соответствие </w:t>
            </w:r>
            <w:r w:rsidR="007F246B" w:rsidRPr="004C17F1">
              <w:rPr>
                <w:rFonts w:ascii="Times New Roman" w:hAnsi="Times New Roman" w:cs="Times New Roman"/>
                <w:sz w:val="27"/>
                <w:szCs w:val="27"/>
              </w:rPr>
              <w:t>постановлению Правительства Архангельской области от 26.01.2016 № 20-пп</w:t>
            </w:r>
            <w:r w:rsidR="00056E87">
              <w:rPr>
                <w:rFonts w:ascii="Times New Roman" w:hAnsi="Times New Roman" w:cs="Times New Roman"/>
                <w:sz w:val="27"/>
                <w:szCs w:val="27"/>
              </w:rPr>
              <w:t xml:space="preserve"> для единого расчета арендной платы на территории города Архангельска</w:t>
            </w:r>
            <w:r w:rsidR="007F246B" w:rsidRPr="004C17F1">
              <w:rPr>
                <w:rFonts w:ascii="Times New Roman" w:hAnsi="Times New Roman" w:cs="Times New Roman"/>
                <w:sz w:val="27"/>
                <w:szCs w:val="27"/>
              </w:rPr>
              <w:t>, так согласно указанному выше постановлению Правительства Архангельской области ставка арендной платы за земельные участки, государственная собственность на которые не разграничена для размещения нестационарных объектов торговли с комплексом сооружений для</w:t>
            </w:r>
            <w:proofErr w:type="gramEnd"/>
            <w:r w:rsidR="007F246B" w:rsidRPr="004C17F1">
              <w:rPr>
                <w:rFonts w:ascii="Times New Roman" w:hAnsi="Times New Roman" w:cs="Times New Roman"/>
                <w:sz w:val="27"/>
                <w:szCs w:val="27"/>
              </w:rPr>
              <w:t xml:space="preserve"> посадки, высадки пассажиров и ожидания транспортных средств на остановочных пунктах по маршруту регулярных перевозок составляет 25% от кадастровой стоимости.</w:t>
            </w:r>
          </w:p>
          <w:p w:rsidR="001E2A19" w:rsidRDefault="001E2A19" w:rsidP="009B136D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Увеличение арендных платежей для предпринимателей в целом на текущее время составит всего порядка </w:t>
            </w:r>
            <w:r w:rsidRPr="001E2A19">
              <w:rPr>
                <w:rFonts w:ascii="Times New Roman" w:hAnsi="Times New Roman" w:cs="Times New Roman"/>
                <w:sz w:val="27"/>
                <w:szCs w:val="27"/>
              </w:rPr>
              <w:t>254,2 тыс. рублей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 год.</w:t>
            </w:r>
          </w:p>
          <w:p w:rsidR="00C94164" w:rsidRDefault="009B136D" w:rsidP="009B136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Считаем целесообразным установить указанную ставку с 01.01.2017г. та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7"/>
                <w:szCs w:val="27"/>
              </w:rPr>
              <w:t>к, как аналогичная ставка на неразграниченных по праву собственности землях находящихся на территории города Архангельска действует с 2015 года.</w:t>
            </w:r>
            <w:r w:rsidR="007F246B" w:rsidRPr="004C17F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</w:tbl>
    <w:p w:rsidR="00C94164" w:rsidRDefault="00C94164" w:rsidP="00106E5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C17F1" w:rsidRDefault="004C17F1" w:rsidP="00316A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B136D" w:rsidRDefault="009B136D" w:rsidP="00316A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316A68" w:rsidRDefault="00580ADB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="00316A6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16A68" w:rsidRPr="00316A68">
        <w:rPr>
          <w:rFonts w:ascii="Times New Roman" w:hAnsi="Times New Roman" w:cs="Times New Roman"/>
          <w:sz w:val="24"/>
          <w:szCs w:val="24"/>
          <w:u w:val="single"/>
        </w:rPr>
        <w:t>С.</w:t>
      </w:r>
      <w:r w:rsidR="00E45C49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316A68" w:rsidRPr="00316A6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E45C49">
        <w:rPr>
          <w:rFonts w:ascii="Times New Roman" w:hAnsi="Times New Roman" w:cs="Times New Roman"/>
          <w:sz w:val="24"/>
          <w:szCs w:val="24"/>
          <w:u w:val="single"/>
        </w:rPr>
        <w:t>Быков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316A68" w:rsidRPr="00316A68" w:rsidRDefault="00E45C49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06</w:t>
      </w:r>
      <w:r w:rsidR="00911525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316A68" w:rsidRPr="00316A68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(дата)</w:t>
      </w:r>
    </w:p>
    <w:sectPr w:rsidR="00580ADB" w:rsidRPr="00580ADB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B35" w:rsidRDefault="00CE1B35" w:rsidP="00B04DA9">
      <w:pPr>
        <w:spacing w:after="0" w:line="240" w:lineRule="auto"/>
      </w:pPr>
      <w:r>
        <w:separator/>
      </w:r>
    </w:p>
  </w:endnote>
  <w:endnote w:type="continuationSeparator" w:id="0">
    <w:p w:rsidR="00CE1B35" w:rsidRDefault="00CE1B35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B35" w:rsidRDefault="00CE1B35" w:rsidP="00B04DA9">
      <w:pPr>
        <w:spacing w:after="0" w:line="240" w:lineRule="auto"/>
      </w:pPr>
      <w:r>
        <w:separator/>
      </w:r>
    </w:p>
  </w:footnote>
  <w:footnote w:type="continuationSeparator" w:id="0">
    <w:p w:rsidR="00CE1B35" w:rsidRDefault="00CE1B35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02320"/>
    <w:rsid w:val="000074AA"/>
    <w:rsid w:val="000204C5"/>
    <w:rsid w:val="00031137"/>
    <w:rsid w:val="00033E38"/>
    <w:rsid w:val="00043E9C"/>
    <w:rsid w:val="000451E2"/>
    <w:rsid w:val="00056E87"/>
    <w:rsid w:val="00061BB7"/>
    <w:rsid w:val="00096FD1"/>
    <w:rsid w:val="000A06C8"/>
    <w:rsid w:val="000B24B2"/>
    <w:rsid w:val="000B6104"/>
    <w:rsid w:val="000C412E"/>
    <w:rsid w:val="000C6760"/>
    <w:rsid w:val="000F77D7"/>
    <w:rsid w:val="00103251"/>
    <w:rsid w:val="00106E5E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C597E"/>
    <w:rsid w:val="001E2A19"/>
    <w:rsid w:val="001F28D6"/>
    <w:rsid w:val="001F7ECB"/>
    <w:rsid w:val="002011AE"/>
    <w:rsid w:val="002221A4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B60BD"/>
    <w:rsid w:val="002D0C60"/>
    <w:rsid w:val="002D1846"/>
    <w:rsid w:val="002E0551"/>
    <w:rsid w:val="002E409C"/>
    <w:rsid w:val="002E7E81"/>
    <w:rsid w:val="0030179B"/>
    <w:rsid w:val="0030485D"/>
    <w:rsid w:val="00316A68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A79A1"/>
    <w:rsid w:val="003B48FC"/>
    <w:rsid w:val="003D1442"/>
    <w:rsid w:val="003D3D4F"/>
    <w:rsid w:val="003D437E"/>
    <w:rsid w:val="003D6A87"/>
    <w:rsid w:val="003E3C55"/>
    <w:rsid w:val="003E6C76"/>
    <w:rsid w:val="00410550"/>
    <w:rsid w:val="00421CE2"/>
    <w:rsid w:val="00426A87"/>
    <w:rsid w:val="0044420C"/>
    <w:rsid w:val="004A0A03"/>
    <w:rsid w:val="004A2D1E"/>
    <w:rsid w:val="004A3B36"/>
    <w:rsid w:val="004A7CDD"/>
    <w:rsid w:val="004C0CDA"/>
    <w:rsid w:val="004C17F1"/>
    <w:rsid w:val="004C60F7"/>
    <w:rsid w:val="004F7C88"/>
    <w:rsid w:val="005013DC"/>
    <w:rsid w:val="0050628D"/>
    <w:rsid w:val="00507C3E"/>
    <w:rsid w:val="00544ED9"/>
    <w:rsid w:val="005568C8"/>
    <w:rsid w:val="005642BC"/>
    <w:rsid w:val="005733E4"/>
    <w:rsid w:val="0057485B"/>
    <w:rsid w:val="00580ADB"/>
    <w:rsid w:val="005A6016"/>
    <w:rsid w:val="005C4B9D"/>
    <w:rsid w:val="00603ACC"/>
    <w:rsid w:val="0061522C"/>
    <w:rsid w:val="006437BE"/>
    <w:rsid w:val="00650B68"/>
    <w:rsid w:val="00673433"/>
    <w:rsid w:val="00681AC1"/>
    <w:rsid w:val="006915EE"/>
    <w:rsid w:val="006920AD"/>
    <w:rsid w:val="006A56EF"/>
    <w:rsid w:val="006A6A52"/>
    <w:rsid w:val="006D0CA3"/>
    <w:rsid w:val="006D46AC"/>
    <w:rsid w:val="006D7B45"/>
    <w:rsid w:val="006D7F41"/>
    <w:rsid w:val="006E610A"/>
    <w:rsid w:val="006E787C"/>
    <w:rsid w:val="0070054D"/>
    <w:rsid w:val="007174A2"/>
    <w:rsid w:val="00735B22"/>
    <w:rsid w:val="007503CE"/>
    <w:rsid w:val="007575BB"/>
    <w:rsid w:val="00761222"/>
    <w:rsid w:val="007616C8"/>
    <w:rsid w:val="0076463F"/>
    <w:rsid w:val="00774B14"/>
    <w:rsid w:val="007812FE"/>
    <w:rsid w:val="007E26EA"/>
    <w:rsid w:val="007E43F1"/>
    <w:rsid w:val="007F246B"/>
    <w:rsid w:val="007F72C7"/>
    <w:rsid w:val="00827442"/>
    <w:rsid w:val="00830398"/>
    <w:rsid w:val="00831CC8"/>
    <w:rsid w:val="00834716"/>
    <w:rsid w:val="008506DA"/>
    <w:rsid w:val="0086501C"/>
    <w:rsid w:val="00874E66"/>
    <w:rsid w:val="008C2346"/>
    <w:rsid w:val="008C3AEE"/>
    <w:rsid w:val="008E3F4F"/>
    <w:rsid w:val="00911525"/>
    <w:rsid w:val="009155F3"/>
    <w:rsid w:val="00917C7A"/>
    <w:rsid w:val="0092540B"/>
    <w:rsid w:val="00925D8E"/>
    <w:rsid w:val="00941025"/>
    <w:rsid w:val="009454CE"/>
    <w:rsid w:val="00952C51"/>
    <w:rsid w:val="00973BB1"/>
    <w:rsid w:val="009A4840"/>
    <w:rsid w:val="009B136D"/>
    <w:rsid w:val="009B5C69"/>
    <w:rsid w:val="009D2ADD"/>
    <w:rsid w:val="00A035F3"/>
    <w:rsid w:val="00A05D2F"/>
    <w:rsid w:val="00A235FA"/>
    <w:rsid w:val="00A73BEE"/>
    <w:rsid w:val="00AA0953"/>
    <w:rsid w:val="00AF129D"/>
    <w:rsid w:val="00AF3597"/>
    <w:rsid w:val="00B04DA9"/>
    <w:rsid w:val="00B06E45"/>
    <w:rsid w:val="00B20157"/>
    <w:rsid w:val="00B31A50"/>
    <w:rsid w:val="00B32063"/>
    <w:rsid w:val="00B34DE6"/>
    <w:rsid w:val="00B34F5B"/>
    <w:rsid w:val="00B46248"/>
    <w:rsid w:val="00B54914"/>
    <w:rsid w:val="00B75B42"/>
    <w:rsid w:val="00B832C6"/>
    <w:rsid w:val="00B851DD"/>
    <w:rsid w:val="00B9313A"/>
    <w:rsid w:val="00B9437F"/>
    <w:rsid w:val="00BA1E42"/>
    <w:rsid w:val="00BA3719"/>
    <w:rsid w:val="00BC1208"/>
    <w:rsid w:val="00BE71AF"/>
    <w:rsid w:val="00C050C4"/>
    <w:rsid w:val="00C12035"/>
    <w:rsid w:val="00C1316A"/>
    <w:rsid w:val="00C14294"/>
    <w:rsid w:val="00C14BC1"/>
    <w:rsid w:val="00C16FCC"/>
    <w:rsid w:val="00C27D33"/>
    <w:rsid w:val="00C3323D"/>
    <w:rsid w:val="00C444C8"/>
    <w:rsid w:val="00C44680"/>
    <w:rsid w:val="00C47885"/>
    <w:rsid w:val="00C51053"/>
    <w:rsid w:val="00C55745"/>
    <w:rsid w:val="00C6306C"/>
    <w:rsid w:val="00C63E4F"/>
    <w:rsid w:val="00C66ADB"/>
    <w:rsid w:val="00C94164"/>
    <w:rsid w:val="00CA2A0A"/>
    <w:rsid w:val="00CB08DC"/>
    <w:rsid w:val="00CB69AE"/>
    <w:rsid w:val="00CE1B35"/>
    <w:rsid w:val="00CE7AFF"/>
    <w:rsid w:val="00D01ADD"/>
    <w:rsid w:val="00D04EFC"/>
    <w:rsid w:val="00D160DF"/>
    <w:rsid w:val="00D161F7"/>
    <w:rsid w:val="00D32CB8"/>
    <w:rsid w:val="00D56D33"/>
    <w:rsid w:val="00D60850"/>
    <w:rsid w:val="00D63AF4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5C49"/>
    <w:rsid w:val="00E47A32"/>
    <w:rsid w:val="00E61D72"/>
    <w:rsid w:val="00E61E41"/>
    <w:rsid w:val="00E83206"/>
    <w:rsid w:val="00E90DB3"/>
    <w:rsid w:val="00EA2E3B"/>
    <w:rsid w:val="00EB5C7F"/>
    <w:rsid w:val="00EF045C"/>
    <w:rsid w:val="00EF1D8E"/>
    <w:rsid w:val="00F11350"/>
    <w:rsid w:val="00F66A63"/>
    <w:rsid w:val="00F66BD1"/>
    <w:rsid w:val="00F854BB"/>
    <w:rsid w:val="00F977F2"/>
    <w:rsid w:val="00FA1930"/>
    <w:rsid w:val="00FB7F05"/>
    <w:rsid w:val="00FC1F08"/>
    <w:rsid w:val="00FC2DEE"/>
    <w:rsid w:val="00FC5417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table" w:styleId="ab">
    <w:name w:val="Table Grid"/>
    <w:basedOn w:val="a1"/>
    <w:uiPriority w:val="59"/>
    <w:rsid w:val="00C94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table" w:styleId="ab">
    <w:name w:val="Table Grid"/>
    <w:basedOn w:val="a1"/>
    <w:uiPriority w:val="59"/>
    <w:rsid w:val="00C94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E696D-8B8A-4E07-AF6B-E56ED1AA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Сергей Николаевич Анисимов</cp:lastModifiedBy>
  <cp:revision>10</cp:revision>
  <cp:lastPrinted>2016-12-07T12:29:00Z</cp:lastPrinted>
  <dcterms:created xsi:type="dcterms:W3CDTF">2016-12-06T07:18:00Z</dcterms:created>
  <dcterms:modified xsi:type="dcterms:W3CDTF">2016-12-07T12:48:00Z</dcterms:modified>
</cp:coreProperties>
</file>